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Sample NPI information issues.</w:t>
      </w:r>
    </w:p>
    <w:p>
      <w:pPr>
        <w:pStyle w:val="Default"/>
        <w:suppressAutoHyphens w:val="1"/>
        <w:spacing w:before="0" w:after="240" w:line="240" w:lineRule="auto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1. 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en-US"/>
        </w:rPr>
        <w:t xml:space="preserve">All changes to NPI information must be reported to the NPI Enumerator within 30 days of the change. 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en-US"/>
        </w:rPr>
        <w:t xml:space="preserve">They are not in many cases. 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en-US"/>
        </w:rPr>
        <w:t>The facilities already have the NPI number needed to bill Medicare and Medicaid, so they don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t feel a pressing need to update their registration.</w:t>
      </w:r>
    </w:p>
    <w:p>
      <w:pPr>
        <w:pStyle w:val="Default"/>
        <w:suppressAutoHyphens w:val="1"/>
        <w:spacing w:before="0" w:after="240" w:line="240" w:lineRule="auto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2. 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en-US"/>
        </w:rPr>
        <w:t xml:space="preserve">Authorized Official: The authorized official must be a general partner, chairman of the board, chief financial officer, chief executive officer, direct owner of 5 percent or more of the organization provider being enumerated, or must hold a position of similar status and authority within the organization. 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en-US"/>
        </w:rPr>
        <w:t>Some list the facility administrator instead.</w:t>
      </w:r>
    </w:p>
    <w:p>
      <w:pPr>
        <w:pStyle w:val="Default"/>
        <w:suppressAutoHyphens w:val="1"/>
        <w:spacing w:before="0" w:after="240" w:line="240" w:lineRule="auto"/>
      </w:pPr>
      <w:r>
        <w:rPr>
          <w:sz w:val="26"/>
          <w:szCs w:val="26"/>
          <w:rtl w:val="0"/>
        </w:rPr>
        <w:t xml:space="preserve">3. 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en-US"/>
        </w:rPr>
        <w:t xml:space="preserve">The instructions for Correspondence Mailing Address Information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must provide an address and telephone number where we can contact you directly.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 xml:space="preserve">Business Practice Location Information directions are even more specific.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Provide information on the address and telephone number of your primary practice location.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For most chain officials, their location and phone number are at the chain headquarters; yet many list a facility address and phone number instead.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