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b w:val="1"/>
          <w:bCs w:val="1"/>
        </w:rPr>
      </w:pPr>
      <w:bookmarkStart w:name="_MON_1182321780" w:id="0"/>
      <w:bookmarkEnd w:id="0"/>
      <w:r>
        <w:drawing xmlns:a="http://schemas.openxmlformats.org/drawingml/2006/main">
          <wp:inline distT="0" distB="0" distL="0" distR="0">
            <wp:extent cx="4505325" cy="1704975"/>
            <wp:effectExtent l="0" t="0" r="0" b="0"/>
            <wp:docPr id="1073741825" name="officeArt object" descr="image1.pdf"/>
            <wp:cNvGraphicFramePr/>
            <a:graphic xmlns:a="http://schemas.openxmlformats.org/drawingml/2006/main">
              <a:graphicData uri="http://schemas.openxmlformats.org/drawingml/2006/picture">
                <pic:pic xmlns:pic="http://schemas.openxmlformats.org/drawingml/2006/picture">
                  <pic:nvPicPr>
                    <pic:cNvPr id="1073741825" name="image1.pdf" descr="image1.pdf"/>
                    <pic:cNvPicPr>
                      <a:picLocks noChangeAspect="1"/>
                    </pic:cNvPicPr>
                  </pic:nvPicPr>
                  <pic:blipFill>
                    <a:blip r:embed="rId4">
                      <a:extLst/>
                    </a:blip>
                    <a:stretch>
                      <a:fillRect/>
                    </a:stretch>
                  </pic:blipFill>
                  <pic:spPr>
                    <a:xfrm>
                      <a:off x="0" y="0"/>
                      <a:ext cx="4505325" cy="1704975"/>
                    </a:xfrm>
                    <a:prstGeom prst="rect">
                      <a:avLst/>
                    </a:prstGeom>
                    <a:ln w="12700" cap="flat">
                      <a:noFill/>
                      <a:miter lim="400000"/>
                    </a:ln>
                    <a:effectLst/>
                  </pic:spPr>
                </pic:pic>
              </a:graphicData>
            </a:graphic>
          </wp:inline>
        </w:drawing>
      </w:r>
    </w:p>
    <w:p>
      <w:pPr>
        <w:pStyle w:val="Heading"/>
        <w:spacing w:before="1440" w:after="2760"/>
      </w:pPr>
      <w:r>
        <w:rPr>
          <w:rtl w:val="0"/>
          <w:lang w:val="en-US"/>
        </w:rPr>
        <w:t>Test Blueprint</w:t>
      </w:r>
      <w:r>
        <w:br w:type="textWrapping"/>
      </w:r>
      <w:r>
        <w:rPr>
          <w:b w:val="1"/>
          <w:bCs w:val="1"/>
          <w:rtl w:val="0"/>
          <w:lang w:val="en-US"/>
        </w:rPr>
        <w:t>Grade 4 Mathematics</w:t>
      </w:r>
      <w:r>
        <w:br w:type="textWrapping"/>
      </w:r>
      <w:r>
        <w:rPr>
          <w:rtl w:val="0"/>
          <w:lang w:val="en-US"/>
        </w:rPr>
        <w:t>2016 Mathematics</w:t>
      </w:r>
      <w:r>
        <w:br w:type="textWrapping"/>
      </w:r>
      <w:r>
        <w:rPr>
          <w:rtl w:val="0"/>
          <w:lang w:val="en-US"/>
        </w:rPr>
        <w:t>Standards of Learning</w:t>
      </w:r>
    </w:p>
    <w:p>
      <w:pPr>
        <w:pStyle w:val="Body"/>
        <w:jc w:val="center"/>
        <w:rPr>
          <w:b w:val="1"/>
          <w:bCs w:val="1"/>
        </w:rPr>
      </w:pPr>
      <w:r>
        <w:rPr>
          <w:b w:val="1"/>
          <w:bCs w:val="1"/>
          <w:sz w:val="44"/>
          <w:szCs w:val="44"/>
        </w:rPr>
        <mc:AlternateContent>
          <mc:Choice Requires="wps">
            <w:drawing xmlns:a="http://schemas.openxmlformats.org/drawingml/2006/main">
              <wp:inline distT="0" distB="0" distL="0" distR="0">
                <wp:extent cx="5715000" cy="914400"/>
                <wp:effectExtent l="0" t="0" r="0" b="0"/>
                <wp:docPr id="1073741826" name="officeArt object" descr="Text Box 4"/>
                <wp:cNvGraphicFramePr/>
                <a:graphic xmlns:a="http://schemas.openxmlformats.org/drawingml/2006/main">
                  <a:graphicData uri="http://schemas.microsoft.com/office/word/2010/wordprocessingShape">
                    <wps:wsp>
                      <wps:cNvSpPr txBox="1"/>
                      <wps:spPr>
                        <a:xfrm>
                          <a:off x="0" y="0"/>
                          <a:ext cx="5715000" cy="914400"/>
                        </a:xfrm>
                        <a:prstGeom prst="rect">
                          <a:avLst/>
                        </a:prstGeom>
                        <a:solidFill>
                          <a:srgbClr val="FFFFFF"/>
                        </a:solidFill>
                        <a:ln w="76200" cap="flat">
                          <a:solidFill>
                            <a:srgbClr val="000000"/>
                          </a:solidFill>
                          <a:prstDash val="solid"/>
                          <a:miter lim="800000"/>
                        </a:ln>
                        <a:effectLst/>
                      </wps:spPr>
                      <wps:txbx>
                        <w:txbxContent>
                          <w:p>
                            <w:pPr>
                              <w:pStyle w:val="Body"/>
                              <w:shd w:val="clear" w:color="auto" w:fill="e0e0e0"/>
                              <w:jc w:val="center"/>
                            </w:pPr>
                            <w:r>
                              <w:rPr>
                                <w:b w:val="1"/>
                                <w:bCs w:val="1"/>
                                <w:sz w:val="32"/>
                                <w:szCs w:val="32"/>
                                <w:rtl w:val="0"/>
                                <w:lang w:val="en-US"/>
                              </w:rPr>
                              <w:t>This test blueprint will be effective with the administration of the spring 2023 Mathematics Standards of Learning (SOL) tests.</w:t>
                            </w:r>
                            <w:r/>
                          </w:p>
                        </w:txbxContent>
                      </wps:txbx>
                      <wps:bodyPr wrap="square" lIns="45719" tIns="45719" rIns="45719" bIns="45719" numCol="1" anchor="t">
                        <a:noAutofit/>
                      </wps:bodyPr>
                    </wps:wsp>
                  </a:graphicData>
                </a:graphic>
              </wp:inline>
            </w:drawing>
          </mc:Choice>
          <mc:Fallback>
            <w:pict>
              <v:shape id="_x0000_s1026" type="#_x0000_t202" style="visibility:visible;width:450.0pt;height:72.0pt;">
                <v:fill color="#FFFFFF" opacity="100.0%" type="solid"/>
                <v:stroke filltype="solid" color="#000000" opacity="100.0%" weight="6.0pt" dashstyle="solid" endcap="flat" miterlimit="800.0%" joinstyle="miter" linestyle="single" startarrow="none" startarrowwidth="medium" startarrowlength="medium" endarrow="none" endarrowwidth="medium" endarrowlength="medium"/>
                <v:textbox>
                  <w:txbxContent>
                    <w:p>
                      <w:pPr>
                        <w:pStyle w:val="Body"/>
                        <w:shd w:val="clear" w:color="auto" w:fill="e0e0e0"/>
                        <w:jc w:val="center"/>
                      </w:pPr>
                      <w:r>
                        <w:rPr>
                          <w:b w:val="1"/>
                          <w:bCs w:val="1"/>
                          <w:sz w:val="32"/>
                          <w:szCs w:val="32"/>
                          <w:rtl w:val="0"/>
                          <w:lang w:val="en-US"/>
                        </w:rPr>
                        <w:t>This test blueprint will be effective with the administration of the spring 2023 Mathematics Standards of Learning (SOL) tests.</w:t>
                      </w:r>
                      <w:r/>
                    </w:p>
                  </w:txbxContent>
                </v:textbox>
              </v:shape>
            </w:pict>
          </mc:Fallback>
        </mc:AlternateContent>
      </w:r>
    </w:p>
    <w:p>
      <w:pPr>
        <w:pStyle w:val="Body"/>
      </w:pPr>
      <w:r>
        <w:rPr>
          <w:rFonts w:ascii="Arial Unicode MS" w:cs="Arial Unicode MS" w:hAnsi="Arial Unicode MS" w:eastAsia="Arial Unicode MS"/>
          <w:b w:val="0"/>
          <w:bCs w:val="0"/>
          <w:i w:val="0"/>
          <w:iCs w:val="0"/>
        </w:rPr>
        <w:br w:type="page"/>
      </w:r>
    </w:p>
    <w:p>
      <w:pPr>
        <w:pStyle w:val="Body"/>
        <w:jc w:val="center"/>
        <w:rPr>
          <w:b w:val="1"/>
          <w:bCs w:val="1"/>
        </w:rPr>
      </w:pPr>
    </w:p>
    <w:p>
      <w:pPr>
        <w:pStyle w:val="Body"/>
        <w:spacing w:before="8280"/>
        <w:rPr>
          <w:b w:val="1"/>
          <w:bCs w:val="1"/>
        </w:rPr>
      </w:pPr>
      <w:r>
        <w:rPr>
          <w:b w:val="1"/>
          <w:bCs w:val="1"/>
          <w:rtl w:val="0"/>
          <w:lang w:val="en-US"/>
        </w:rPr>
        <w:t>Notice to Reader</w:t>
      </w:r>
    </w:p>
    <w:p>
      <w:pPr>
        <w:pStyle w:val="Body"/>
      </w:pPr>
      <w:r>
        <w:rPr>
          <w:rtl w:val="0"/>
          <w:lang w:val="en-US"/>
        </w:rPr>
        <w:t>In accordance with the requirements of the Civil Rights Act and other federal and state laws and regulations, this document has been reviewed to ensure that it does not reflect stereotypes based on race, color, national origin, sex, age, or disability.</w:t>
      </w:r>
    </w:p>
    <w:p>
      <w:pPr>
        <w:pStyle w:val="Body Text 3"/>
      </w:pPr>
    </w:p>
    <w:p>
      <w:pPr>
        <w:pStyle w:val="Body Text 3"/>
        <w:spacing w:after="600"/>
      </w:pPr>
      <w:r>
        <w:rPr>
          <w:rtl w:val="0"/>
          <w:lang w:val="en-US"/>
        </w:rPr>
        <w:t>The Virginia Department of Education does not discriminate on the basis of race, sex, color, national origin, religion, sexual orientation, gender identity, age, political affiliation, or against otherwise qualified persons with disabilities in employment or provisions of service.</w:t>
      </w:r>
    </w:p>
    <w:p>
      <w:pPr>
        <w:pStyle w:val="Body"/>
        <w:sectPr>
          <w:headerReference w:type="default" r:id="rId5"/>
          <w:footerReference w:type="default" r:id="rId6"/>
          <w:pgSz w:w="12240" w:h="15840" w:orient="portrait"/>
          <w:pgMar w:top="1440" w:right="1440" w:bottom="720" w:left="1440" w:header="720" w:footer="720"/>
          <w:bidi w:val="0"/>
        </w:sectPr>
      </w:pPr>
      <w:r>
        <w:rPr>
          <w:outline w:val="0"/>
          <w:color w:val="000000"/>
          <w:u w:color="000000"/>
          <w:rtl w:val="0"/>
          <w:lang w:val="en-US"/>
          <w14:textFill>
            <w14:solidFill>
              <w14:srgbClr w14:val="000000"/>
            </w14:solidFill>
          </w14:textFill>
        </w:rPr>
        <w:t xml:space="preserve">Copyright </w:t>
      </w:r>
      <w:r>
        <w:rPr>
          <w:outline w:val="0"/>
          <w:color w:val="000000"/>
          <w:u w:color="000000"/>
          <w:rtl w:val="0"/>
          <w:lang w:val="de-DE"/>
          <w14:textFill>
            <w14:solidFill>
              <w14:srgbClr w14:val="000000"/>
            </w14:solidFill>
          </w14:textFill>
        </w:rPr>
        <w:t>©</w:t>
      </w:r>
      <w:r>
        <w:rPr>
          <w:outline w:val="0"/>
          <w:color w:val="000000"/>
          <w:u w:color="000000"/>
          <w:rtl w:val="0"/>
          <w:lang w:val="en-US"/>
          <w14:textFill>
            <w14:solidFill>
              <w14:srgbClr w14:val="000000"/>
            </w14:solidFill>
          </w14:textFill>
        </w:rPr>
        <w:t xml:space="preserve">2023 by the Commonwealth of Virginia, Department of Education, P.O. Box 2120, Richmond, Virginia 23218-2120. All rights reserved. Except as permitted by law, this material may not be reproduced or used in any form or by any means, electronic or mechanical, including photocopying or recording, or by any information storage or retrieval system, without written permission from the copyright owner. Commonwealth of Virginia public school educators may reproduce any portion of this test blueprint for noncommercial educational purposes without requesting permission. All others should direct their written requests to the Virginia Department of Education at the above address or by email to </w:t>
      </w:r>
      <w:r>
        <w:rPr>
          <w:rStyle w:val="Hyperlink.0"/>
        </w:rPr>
        <w:fldChar w:fldCharType="begin" w:fldLock="0"/>
      </w:r>
      <w:r>
        <w:rPr>
          <w:rStyle w:val="Hyperlink.0"/>
        </w:rPr>
        <w:instrText xml:space="preserve"> HYPERLINK "mailto:Student_Assessment@doe.virginia.gov"</w:instrText>
      </w:r>
      <w:r>
        <w:rPr>
          <w:rStyle w:val="Hyperlink.0"/>
        </w:rPr>
        <w:fldChar w:fldCharType="separate" w:fldLock="0"/>
      </w:r>
      <w:r>
        <w:rPr>
          <w:rStyle w:val="Hyperlink.0"/>
          <w:rtl w:val="0"/>
          <w:lang w:val="it-IT"/>
        </w:rPr>
        <w:t>Student_Assessment@doe.virginia.gov</w:t>
      </w:r>
      <w:r>
        <w:rPr/>
        <w:fldChar w:fldCharType="end" w:fldLock="0"/>
      </w:r>
      <w:r>
        <w:rPr>
          <w:outline w:val="0"/>
          <w:color w:val="000000"/>
          <w:u w:color="000000"/>
          <w:rtl w:val="0"/>
          <w14:textFill>
            <w14:solidFill>
              <w14:srgbClr w14:val="000000"/>
            </w14:solidFill>
          </w14:textFill>
        </w:rPr>
        <w:t>.</w:t>
      </w:r>
    </w:p>
    <w:p>
      <w:pPr>
        <w:pStyle w:val="Body"/>
        <w:rPr>
          <w:outline w:val="0"/>
          <w:color w:val="000000"/>
          <w:u w:color="000000"/>
          <w14:textFill>
            <w14:solidFill>
              <w14:srgbClr w14:val="000000"/>
            </w14:solidFill>
          </w14:textFill>
        </w:rPr>
      </w:pPr>
    </w:p>
    <w:p>
      <w:pPr>
        <w:pStyle w:val="Body"/>
        <w:jc w:val="center"/>
        <w:rPr>
          <w:b w:val="1"/>
          <w:bCs w:val="1"/>
          <w:sz w:val="40"/>
          <w:szCs w:val="40"/>
        </w:rPr>
      </w:pPr>
      <w:r>
        <w:rPr>
          <w:b w:val="1"/>
          <w:bCs w:val="1"/>
          <w:sz w:val="40"/>
          <w:szCs w:val="40"/>
          <w:rtl w:val="0"/>
          <w:lang w:val="en-US"/>
        </w:rPr>
        <w:t xml:space="preserve">Grade 4 Mathematics </w:t>
      </w:r>
    </w:p>
    <w:p>
      <w:pPr>
        <w:pStyle w:val="Body"/>
        <w:jc w:val="center"/>
        <w:rPr>
          <w:b w:val="1"/>
          <w:bCs w:val="1"/>
          <w:sz w:val="40"/>
          <w:szCs w:val="40"/>
        </w:rPr>
      </w:pPr>
      <w:r>
        <w:rPr>
          <w:b w:val="1"/>
          <w:bCs w:val="1"/>
          <w:sz w:val="40"/>
          <w:szCs w:val="40"/>
          <w:rtl w:val="0"/>
          <w:lang w:val="en-US"/>
        </w:rPr>
        <w:t>Standards of Learning</w:t>
      </w:r>
    </w:p>
    <w:p>
      <w:pPr>
        <w:pStyle w:val="Body"/>
        <w:jc w:val="center"/>
        <w:rPr>
          <w:b w:val="1"/>
          <w:bCs w:val="1"/>
          <w:sz w:val="40"/>
          <w:szCs w:val="40"/>
        </w:rPr>
      </w:pPr>
    </w:p>
    <w:p>
      <w:pPr>
        <w:pStyle w:val="Body"/>
        <w:jc w:val="center"/>
        <w:rPr>
          <w:b w:val="1"/>
          <w:bCs w:val="1"/>
          <w:sz w:val="40"/>
          <w:szCs w:val="40"/>
        </w:rPr>
      </w:pPr>
      <w:r>
        <w:rPr>
          <w:b w:val="1"/>
          <w:bCs w:val="1"/>
          <w:sz w:val="40"/>
          <w:szCs w:val="40"/>
          <w:rtl w:val="0"/>
          <w:lang w:val="en-US"/>
        </w:rPr>
        <w:t>Test Blueprint</w:t>
      </w:r>
    </w:p>
    <w:p>
      <w:pPr>
        <w:pStyle w:val="Body"/>
        <w:jc w:val="center"/>
        <w:rPr>
          <w:b w:val="1"/>
          <w:bCs w:val="1"/>
          <w:sz w:val="36"/>
          <w:szCs w:val="36"/>
        </w:rPr>
      </w:pPr>
    </w:p>
    <w:p>
      <w:pPr>
        <w:pStyle w:val="Body"/>
        <w:jc w:val="center"/>
        <w:rPr>
          <w:b w:val="1"/>
          <w:bCs w:val="1"/>
          <w:sz w:val="36"/>
          <w:szCs w:val="36"/>
        </w:rPr>
      </w:pPr>
    </w:p>
    <w:p>
      <w:pPr>
        <w:pStyle w:val="Heading 2"/>
      </w:pPr>
      <w:r>
        <w:rPr>
          <w:rtl w:val="0"/>
          <w:lang w:val="en-US"/>
        </w:rPr>
        <w:t>TABLE OF CONTENTS</w:t>
      </w:r>
    </w:p>
    <w:p>
      <w:pPr>
        <w:pStyle w:val="Body"/>
        <w:jc w:val="right"/>
        <w:rPr>
          <w:b w:val="1"/>
          <w:bCs w:val="1"/>
          <w:sz w:val="24"/>
          <w:szCs w:val="24"/>
        </w:rPr>
      </w:pPr>
    </w:p>
    <w:p>
      <w:pPr>
        <w:pStyle w:val="Body"/>
        <w:jc w:val="right"/>
        <w:rPr>
          <w:sz w:val="28"/>
          <w:szCs w:val="28"/>
        </w:rPr>
      </w:pPr>
      <w:r>
        <w:rPr>
          <w:sz w:val="28"/>
          <w:szCs w:val="28"/>
          <w:rtl w:val="0"/>
          <w:lang w:val="en-US"/>
        </w:rPr>
        <w:t>General Test Information</w:t>
      </w:r>
      <w:r>
        <w:rPr>
          <w:sz w:val="28"/>
          <w:szCs w:val="28"/>
          <w:rtl w:val="0"/>
        </w:rPr>
        <w:t>………………………………………………………</w:t>
      </w:r>
      <w:r>
        <w:rPr>
          <w:sz w:val="28"/>
          <w:szCs w:val="28"/>
          <w:rtl w:val="0"/>
        </w:rPr>
        <w:t>..1</w:t>
      </w:r>
    </w:p>
    <w:p>
      <w:pPr>
        <w:pStyle w:val="Body"/>
        <w:rPr>
          <w:sz w:val="24"/>
          <w:szCs w:val="24"/>
        </w:rPr>
      </w:pPr>
      <w:r>
        <w:rPr>
          <w:sz w:val="28"/>
          <w:szCs w:val="28"/>
        </w:rPr>
        <w:tab/>
      </w:r>
      <w:r>
        <w:rPr>
          <w:sz w:val="24"/>
          <w:szCs w:val="24"/>
          <w:rtl w:val="0"/>
          <w:lang w:val="en-US"/>
        </w:rPr>
        <w:t>Defines common terms</w:t>
      </w:r>
    </w:p>
    <w:p>
      <w:pPr>
        <w:pStyle w:val="Body"/>
        <w:rPr>
          <w:sz w:val="28"/>
          <w:szCs w:val="28"/>
        </w:rPr>
      </w:pPr>
    </w:p>
    <w:p>
      <w:pPr>
        <w:pStyle w:val="Body"/>
        <w:jc w:val="right"/>
        <w:rPr>
          <w:sz w:val="28"/>
          <w:szCs w:val="28"/>
        </w:rPr>
      </w:pPr>
      <w:r>
        <w:rPr>
          <w:sz w:val="28"/>
          <w:szCs w:val="28"/>
          <w:rtl w:val="0"/>
          <w:lang w:val="en-US"/>
        </w:rPr>
        <w:t>Test Blueprint Summary Table</w:t>
      </w:r>
      <w:r>
        <w:rPr>
          <w:sz w:val="28"/>
          <w:szCs w:val="28"/>
          <w:rtl w:val="0"/>
        </w:rPr>
        <w:t>…………………………………………………</w:t>
      </w:r>
      <w:r>
        <w:rPr>
          <w:sz w:val="28"/>
          <w:szCs w:val="28"/>
          <w:rtl w:val="0"/>
        </w:rPr>
        <w:t>.3</w:t>
      </w:r>
    </w:p>
    <w:p>
      <w:pPr>
        <w:pStyle w:val="Body"/>
        <w:rPr>
          <w:sz w:val="24"/>
          <w:szCs w:val="24"/>
        </w:rPr>
      </w:pPr>
      <w:r>
        <w:rPr>
          <w:sz w:val="28"/>
          <w:szCs w:val="28"/>
        </w:rPr>
        <w:tab/>
      </w:r>
      <w:r>
        <w:rPr>
          <w:sz w:val="24"/>
          <w:szCs w:val="24"/>
          <w:rtl w:val="0"/>
          <w:lang w:val="en-US"/>
        </w:rPr>
        <w:t>Organizes the SOL and the number of items assessed</w:t>
      </w:r>
    </w:p>
    <w:p>
      <w:pPr>
        <w:pStyle w:val="Body"/>
        <w:rPr>
          <w:sz w:val="24"/>
          <w:szCs w:val="24"/>
        </w:rPr>
      </w:pPr>
    </w:p>
    <w:p>
      <w:pPr>
        <w:pStyle w:val="Body"/>
        <w:jc w:val="right"/>
        <w:rPr>
          <w:sz w:val="28"/>
          <w:szCs w:val="28"/>
        </w:rPr>
      </w:pPr>
      <w:r>
        <w:rPr>
          <w:sz w:val="28"/>
          <w:szCs w:val="28"/>
          <w:rtl w:val="0"/>
          <w:lang w:val="en-US"/>
        </w:rPr>
        <w:t>Expanded Test Blueprint</w:t>
      </w:r>
      <w:r>
        <w:rPr>
          <w:sz w:val="28"/>
          <w:szCs w:val="28"/>
          <w:rtl w:val="0"/>
        </w:rPr>
        <w:t>……</w:t>
      </w:r>
      <w:r>
        <w:rPr>
          <w:sz w:val="28"/>
          <w:szCs w:val="28"/>
          <w:rtl w:val="0"/>
        </w:rPr>
        <w:t>...</w:t>
      </w:r>
      <w:r>
        <w:rPr>
          <w:sz w:val="28"/>
          <w:szCs w:val="28"/>
          <w:rtl w:val="0"/>
        </w:rPr>
        <w:t>…………………………………………………</w:t>
      </w:r>
      <w:r>
        <w:rPr>
          <w:sz w:val="28"/>
          <w:szCs w:val="28"/>
          <w:rtl w:val="0"/>
        </w:rPr>
        <w:t>4</w:t>
      </w:r>
    </w:p>
    <w:p>
      <w:pPr>
        <w:pStyle w:val="Body"/>
        <w:rPr>
          <w:b w:val="1"/>
          <w:bCs w:val="1"/>
          <w:sz w:val="24"/>
          <w:szCs w:val="24"/>
        </w:rPr>
      </w:pPr>
      <w:r>
        <w:rPr>
          <w:b w:val="1"/>
          <w:bCs w:val="1"/>
          <w:sz w:val="24"/>
          <w:szCs w:val="24"/>
        </w:rPr>
        <w:tab/>
      </w:r>
      <w:r>
        <w:rPr>
          <w:sz w:val="24"/>
          <w:szCs w:val="24"/>
          <w:rtl w:val="0"/>
          <w:lang w:val="en-US"/>
        </w:rPr>
        <w:t>Full text of each SOL as organized for the test</w:t>
      </w:r>
    </w:p>
    <w:p>
      <w:pPr>
        <w:pStyle w:val="Body"/>
        <w:rPr>
          <w:b w:val="1"/>
          <w:bCs w:val="1"/>
          <w:sz w:val="24"/>
          <w:szCs w:val="24"/>
        </w:rPr>
      </w:pPr>
    </w:p>
    <w:p>
      <w:pPr>
        <w:pStyle w:val="Body"/>
        <w:sectPr>
          <w:headerReference w:type="default" r:id="rId7"/>
          <w:headerReference w:type="first" r:id="rId8"/>
          <w:pgSz w:w="12240" w:h="15840" w:orient="portrait"/>
          <w:pgMar w:top="1440" w:right="1440" w:bottom="720" w:left="1440" w:header="720" w:footer="720"/>
          <w:titlePg w:val="1"/>
          <w:bidi w:val="0"/>
        </w:sectPr>
      </w:pPr>
    </w:p>
    <w:p>
      <w:pPr>
        <w:pStyle w:val="Heading 2"/>
      </w:pPr>
      <w:r>
        <w:rPr>
          <w:rtl w:val="0"/>
          <w:lang w:val="en-US"/>
        </w:rPr>
        <w:t>General Test Information</w:t>
      </w:r>
    </w:p>
    <w:p>
      <w:pPr>
        <w:pStyle w:val="Body"/>
        <w:jc w:val="center"/>
        <w:rPr>
          <w:rFonts w:ascii="Arial Black" w:cs="Arial Black" w:hAnsi="Arial Black" w:eastAsia="Arial Black"/>
          <w:sz w:val="24"/>
          <w:szCs w:val="24"/>
        </w:rPr>
      </w:pPr>
    </w:p>
    <w:p>
      <w:pPr>
        <w:pStyle w:val="Heading 3"/>
      </w:pPr>
      <w:r>
        <w:rPr>
          <w:rtl w:val="0"/>
          <w:lang w:val="en-US"/>
        </w:rPr>
        <w:t>Test Blueprint</w:t>
      </w:r>
    </w:p>
    <w:p>
      <w:pPr>
        <w:pStyle w:val="Body"/>
        <w:rPr>
          <w:sz w:val="24"/>
          <w:szCs w:val="24"/>
        </w:rPr>
      </w:pPr>
      <w:r>
        <w:rPr>
          <w:sz w:val="24"/>
          <w:szCs w:val="24"/>
          <w:rtl w:val="0"/>
          <w:lang w:val="en-US"/>
        </w:rPr>
        <w:t>Much like the blueprint for a building, a test blueprint serves as a guide for test construction. The blueprint indicates the content areas that will be addressed by the test and the number of items that will be included by content area and for the test as a whole. There is a blueprint for each test (e.g., grade 3 reading, grade 5 mathematics, grade 8 science, Virginia and United States History).</w:t>
      </w:r>
    </w:p>
    <w:p>
      <w:pPr>
        <w:pStyle w:val="Body"/>
        <w:rPr>
          <w:sz w:val="24"/>
          <w:szCs w:val="24"/>
        </w:rPr>
      </w:pPr>
    </w:p>
    <w:p>
      <w:pPr>
        <w:pStyle w:val="Body Text"/>
        <w:spacing w:after="0"/>
        <w:rPr>
          <w:sz w:val="24"/>
          <w:szCs w:val="24"/>
        </w:rPr>
      </w:pPr>
      <w:r>
        <w:rPr>
          <w:sz w:val="24"/>
          <w:szCs w:val="24"/>
          <w:rtl w:val="0"/>
          <w:lang w:val="en-US"/>
        </w:rPr>
        <w:t xml:space="preserve">The Grade 4 Mathematics blueprint contains information for two types of tests, the online computer adaptive test (CAT) and the traditional test. A CAT is an online assessment that is customized for every student based on how the student responds to the questions. This is in contrast to the traditional test in which all students who take a particular version (paper, large print, or braille) of the test respond to the same test questions. All online versions of the Grade 4 Mathematics Standards of Learning (SOL) test (including audio) are computer adaptive. </w:t>
      </w:r>
    </w:p>
    <w:p>
      <w:pPr>
        <w:pStyle w:val="Body Text"/>
        <w:spacing w:after="0"/>
        <w:rPr>
          <w:sz w:val="24"/>
          <w:szCs w:val="24"/>
        </w:rPr>
      </w:pPr>
    </w:p>
    <w:p>
      <w:pPr>
        <w:pStyle w:val="Body"/>
        <w:rPr>
          <w:sz w:val="24"/>
          <w:szCs w:val="24"/>
        </w:rPr>
      </w:pPr>
      <w:r>
        <w:rPr>
          <w:sz w:val="24"/>
          <w:szCs w:val="24"/>
          <w:rtl w:val="0"/>
          <w:lang w:val="en-US"/>
        </w:rPr>
        <w:t>All students are required to take the online version of the SOL tests with the exception of students who meet the criteria for needing a paper test. All paper versions of the test (including large print and braille) will be administered using the traditional format. All test questions for Grade 4 Mathematics have been determined to meet the criteria for Universal Design. The Universal Design principles require that language that is not specific to the content area (e.g., mathematics) be simplified and test questions be written so they are accessible by all populations of students. The SOL test questions have been reviewed by Virginia teachers and have been determined to meet the criteria for Universal Design.</w:t>
      </w:r>
    </w:p>
    <w:p>
      <w:pPr>
        <w:pStyle w:val="Body"/>
        <w:rPr>
          <w:sz w:val="24"/>
          <w:szCs w:val="24"/>
        </w:rPr>
      </w:pPr>
    </w:p>
    <w:p>
      <w:pPr>
        <w:pStyle w:val="Heading 3"/>
      </w:pPr>
      <w:r>
        <w:rPr>
          <w:rtl w:val="0"/>
          <w:lang w:val="en-US"/>
        </w:rPr>
        <w:t>Reporting Categories</w:t>
      </w:r>
    </w:p>
    <w:p>
      <w:pPr>
        <w:pStyle w:val="Body"/>
        <w:rPr>
          <w:sz w:val="24"/>
          <w:szCs w:val="24"/>
        </w:rPr>
      </w:pPr>
      <w:r>
        <w:rPr>
          <w:sz w:val="24"/>
          <w:szCs w:val="24"/>
          <w:rtl w:val="0"/>
          <w:lang w:val="en-US"/>
        </w:rPr>
        <w:t>Each test covers a number of Standards of Learning. In the test blueprint, the SOL are grouped into categories that address related content and skills. These categories are labeled as reporting categories</w:t>
      </w:r>
      <w:r>
        <w:rPr>
          <w:i w:val="1"/>
          <w:iCs w:val="1"/>
          <w:sz w:val="24"/>
          <w:szCs w:val="24"/>
          <w:rtl w:val="0"/>
        </w:rPr>
        <w:t>.</w:t>
      </w:r>
      <w:r>
        <w:rPr>
          <w:sz w:val="24"/>
          <w:szCs w:val="24"/>
          <w:rtl w:val="0"/>
          <w:lang w:val="en-US"/>
        </w:rPr>
        <w:t xml:space="preserve"> For example, a reporting category for the Grade 4 Mathematics Standards of Learning test is </w:t>
      </w:r>
      <w:r>
        <w:rPr>
          <w:i w:val="1"/>
          <w:iCs w:val="1"/>
          <w:sz w:val="24"/>
          <w:szCs w:val="24"/>
          <w:rtl w:val="0"/>
          <w:lang w:val="en-US"/>
        </w:rPr>
        <w:t>Computation and Estimation</w:t>
      </w:r>
      <w:r>
        <w:rPr>
          <w:sz w:val="24"/>
          <w:szCs w:val="24"/>
          <w:rtl w:val="0"/>
          <w:lang w:val="en-US"/>
        </w:rPr>
        <w:t>. Each of the SOL in this reporting category addresses computation using addition, subtraction, multiplication, or division or requires the student to estimate the answer to a problem. When the results of the SOL tests are reported, the scores will be presented for each reporting category and as a total test score.</w:t>
      </w:r>
    </w:p>
    <w:p>
      <w:pPr>
        <w:pStyle w:val="Body"/>
        <w:rPr>
          <w:sz w:val="22"/>
          <w:szCs w:val="22"/>
        </w:rPr>
      </w:pPr>
    </w:p>
    <w:p>
      <w:pPr>
        <w:pStyle w:val="Heading 3"/>
      </w:pPr>
      <w:r>
        <w:rPr>
          <w:rtl w:val="0"/>
          <w:lang w:val="en-US"/>
        </w:rPr>
        <w:t>Assignment of Standards of Learning to Reporting Category</w:t>
      </w:r>
    </w:p>
    <w:p>
      <w:pPr>
        <w:pStyle w:val="Body"/>
        <w:rPr>
          <w:strike w:val="1"/>
          <w:dstrike w:val="0"/>
          <w:sz w:val="24"/>
          <w:szCs w:val="24"/>
        </w:rPr>
      </w:pPr>
      <w:r>
        <w:rPr>
          <w:sz w:val="24"/>
          <w:szCs w:val="24"/>
          <w:rtl w:val="0"/>
          <w:lang w:val="en-US"/>
        </w:rPr>
        <w:t xml:space="preserve">In the Grade 4 Mathematics SOL test, each SOL is assigned to only one reporting category. For example, SOL 4.1a-c is assigned to </w:t>
      </w:r>
      <w:r>
        <w:rPr>
          <w:sz w:val="24"/>
          <w:szCs w:val="24"/>
          <w:rtl w:val="1"/>
          <w:lang w:val="ar-SA" w:bidi="ar-SA"/>
        </w:rPr>
        <w:t>“</w:t>
      </w:r>
      <w:r>
        <w:rPr>
          <w:sz w:val="24"/>
          <w:szCs w:val="24"/>
          <w:rtl w:val="0"/>
          <w:lang w:val="en-US"/>
        </w:rPr>
        <w:t>Number and Number Sense.</w:t>
      </w:r>
      <w:r>
        <w:rPr>
          <w:sz w:val="24"/>
          <w:szCs w:val="24"/>
          <w:rtl w:val="0"/>
        </w:rPr>
        <w:t>”</w:t>
      </w:r>
      <w:r>
        <w:rPr>
          <w:strike w:val="1"/>
          <w:dstrike w:val="0"/>
          <w:sz w:val="24"/>
          <w:szCs w:val="24"/>
          <w:rtl w:val="0"/>
        </w:rPr>
        <w:t xml:space="preserve"> </w:t>
      </w:r>
    </w:p>
    <w:p>
      <w:pPr>
        <w:pStyle w:val="Body"/>
        <w:rPr>
          <w:sz w:val="22"/>
          <w:szCs w:val="22"/>
        </w:rPr>
      </w:pPr>
    </w:p>
    <w:p>
      <w:pPr>
        <w:pStyle w:val="Heading 3"/>
      </w:pPr>
      <w:r>
        <w:rPr>
          <w:rtl w:val="0"/>
          <w:lang w:val="en-US"/>
        </w:rPr>
        <w:t xml:space="preserve">Coverage of Standards of Learning </w:t>
      </w:r>
    </w:p>
    <w:p>
      <w:pPr>
        <w:pStyle w:val="Body"/>
        <w:rPr>
          <w:sz w:val="24"/>
          <w:szCs w:val="24"/>
        </w:rPr>
      </w:pPr>
      <w:r>
        <w:rPr>
          <w:sz w:val="24"/>
          <w:szCs w:val="24"/>
          <w:rtl w:val="0"/>
          <w:lang w:val="en-US"/>
        </w:rPr>
        <w:t>Due to the large number of SOL in each grade level content area, every Standard of Learning will not be assessed on every SOL test. By necessity, to keep the length of a test reasonable, each test will sample from the SOL within a reporting category. All SOL are eligible for inclusion on the traditional forms as well as the CAT forms.</w:t>
      </w:r>
    </w:p>
    <w:p>
      <w:pPr>
        <w:pStyle w:val="Body"/>
        <w:rPr>
          <w:rFonts w:ascii="Arial" w:cs="Arial" w:hAnsi="Arial" w:eastAsia="Arial"/>
          <w:b w:val="1"/>
          <w:bCs w:val="1"/>
          <w:sz w:val="24"/>
          <w:szCs w:val="24"/>
        </w:rPr>
      </w:pPr>
    </w:p>
    <w:p>
      <w:pPr>
        <w:pStyle w:val="Body"/>
        <w:rPr>
          <w:rFonts w:ascii="Arial" w:cs="Arial" w:hAnsi="Arial" w:eastAsia="Arial"/>
          <w:b w:val="1"/>
          <w:bCs w:val="1"/>
          <w:sz w:val="24"/>
          <w:szCs w:val="24"/>
        </w:rPr>
      </w:pPr>
    </w:p>
    <w:p>
      <w:pPr>
        <w:pStyle w:val="Body"/>
        <w:rPr>
          <w:rFonts w:ascii="Arial" w:cs="Arial" w:hAnsi="Arial" w:eastAsia="Arial"/>
          <w:b w:val="1"/>
          <w:bCs w:val="1"/>
          <w:sz w:val="24"/>
          <w:szCs w:val="24"/>
        </w:rPr>
      </w:pPr>
    </w:p>
    <w:p>
      <w:pPr>
        <w:pStyle w:val="Heading 3"/>
      </w:pPr>
      <w:r>
        <w:rPr>
          <w:rtl w:val="0"/>
          <w:lang w:val="en-US"/>
        </w:rPr>
        <w:t>Use of the Curriculum Framework</w:t>
      </w:r>
    </w:p>
    <w:p>
      <w:pPr>
        <w:pStyle w:val="Body"/>
        <w:rPr>
          <w:sz w:val="24"/>
          <w:szCs w:val="24"/>
        </w:rPr>
      </w:pPr>
      <w:r>
        <w:rPr>
          <w:sz w:val="24"/>
          <w:szCs w:val="24"/>
          <w:rtl w:val="0"/>
          <w:lang w:val="en-US"/>
        </w:rPr>
        <w:t>The Grade 4 Mathematics Standards of Learning, amplified by the Curriculum Framework, define the essential understandings, knowledge, and skills that are measured by the Standards of Learning tests. The Curriculum Framework asks essential questions, identifies essential understandings, defines essential content knowledge, and describes essential skills students need to master.</w:t>
      </w:r>
    </w:p>
    <w:p>
      <w:pPr>
        <w:pStyle w:val="Body"/>
        <w:rPr>
          <w:sz w:val="22"/>
          <w:szCs w:val="22"/>
        </w:rPr>
      </w:pPr>
    </w:p>
    <w:p>
      <w:pPr>
        <w:pStyle w:val="Heading 3"/>
      </w:pPr>
      <w:r>
        <w:rPr>
          <w:rtl w:val="0"/>
          <w:lang w:val="en-US"/>
        </w:rPr>
        <w:t>Use of Calculators</w:t>
      </w:r>
    </w:p>
    <w:p>
      <w:pPr>
        <w:pStyle w:val="Body"/>
        <w:rPr>
          <w:sz w:val="24"/>
          <w:szCs w:val="24"/>
        </w:rPr>
      </w:pPr>
      <w:r>
        <w:rPr>
          <w:sz w:val="24"/>
          <w:szCs w:val="24"/>
          <w:rtl w:val="0"/>
          <w:lang w:val="en-US"/>
        </w:rPr>
        <w:t>Grade 4 SOL calculator-active items will have the online calculator included with the item on the toolbar. For additional information, please refer to the list of Online Mathematics Tools available on the Grades 3-8 Mathematics Growth Assessments.</w:t>
      </w:r>
    </w:p>
    <w:p>
      <w:pPr>
        <w:pStyle w:val="Body"/>
      </w:pPr>
    </w:p>
    <w:p>
      <w:pPr>
        <w:pStyle w:val="Heading 3"/>
      </w:pPr>
      <w:r>
        <w:rPr>
          <w:rtl w:val="0"/>
          <w:lang w:val="en-US"/>
        </w:rPr>
        <w:t>Additional Items</w:t>
      </w:r>
    </w:p>
    <w:p>
      <w:pPr>
        <w:pStyle w:val="Body"/>
        <w:spacing w:after="120"/>
        <w:rPr>
          <w:sz w:val="24"/>
          <w:szCs w:val="24"/>
        </w:rPr>
      </w:pPr>
      <w:r>
        <w:rPr>
          <w:sz w:val="24"/>
          <w:szCs w:val="24"/>
          <w:rtl w:val="0"/>
          <w:lang w:val="en-US"/>
        </w:rPr>
        <w:t xml:space="preserve">Beginning in spring 2023, the computer adaptive Standards of Learning tests will include a section of additional items at the end of the test. </w:t>
      </w:r>
      <w:r>
        <w:rPr>
          <w:sz w:val="24"/>
          <w:szCs w:val="24"/>
          <w:shd w:val="clear" w:color="auto" w:fill="ffffff"/>
          <w:rtl w:val="0"/>
          <w:lang w:val="en-US"/>
        </w:rPr>
        <w:t>The computer algorithm may deliver items one grade level above or one grade level below a student's current grade based upon the student's responses to the on-grade-level items</w:t>
      </w:r>
      <w:r>
        <w:rPr>
          <w:sz w:val="24"/>
          <w:szCs w:val="24"/>
          <w:rtl w:val="0"/>
          <w:lang w:val="en-US"/>
        </w:rPr>
        <w:t>. The Test Scaled Score (0 to 600) and corresponding performance level (i.e., pass/proficient, pass/advanced, fail/basic, fail/below basic) are based upon a student</w:t>
      </w:r>
      <w:r>
        <w:rPr>
          <w:sz w:val="24"/>
          <w:szCs w:val="24"/>
          <w:rtl w:val="1"/>
        </w:rPr>
        <w:t>’</w:t>
      </w:r>
      <w:r>
        <w:rPr>
          <w:sz w:val="24"/>
          <w:szCs w:val="24"/>
          <w:rtl w:val="0"/>
          <w:lang w:val="en-US"/>
        </w:rPr>
        <w:t>s performance on the on-grade-level Operational Items only. The student</w:t>
      </w:r>
      <w:r>
        <w:rPr>
          <w:sz w:val="24"/>
          <w:szCs w:val="24"/>
          <w:rtl w:val="1"/>
        </w:rPr>
        <w:t>’</w:t>
      </w:r>
      <w:r>
        <w:rPr>
          <w:sz w:val="24"/>
          <w:szCs w:val="24"/>
          <w:rtl w:val="0"/>
          <w:lang w:val="en-US"/>
        </w:rPr>
        <w:t xml:space="preserve">s responses to the on-grade-level Operational Items </w:t>
      </w:r>
      <w:r>
        <w:rPr>
          <w:i w:val="1"/>
          <w:iCs w:val="1"/>
          <w:sz w:val="24"/>
          <w:szCs w:val="24"/>
          <w:rtl w:val="0"/>
          <w:lang w:val="en-US"/>
        </w:rPr>
        <w:t xml:space="preserve">and </w:t>
      </w:r>
      <w:r>
        <w:rPr>
          <w:sz w:val="24"/>
          <w:szCs w:val="24"/>
          <w:rtl w:val="0"/>
          <w:lang w:val="en-US"/>
        </w:rPr>
        <w:t>the Additional Items that may be on grade level, one grade level above, or one grade level below the current grade level will be reflected in the student</w:t>
      </w:r>
      <w:r>
        <w:rPr>
          <w:sz w:val="24"/>
          <w:szCs w:val="24"/>
          <w:rtl w:val="1"/>
        </w:rPr>
        <w:t>’</w:t>
      </w:r>
      <w:r>
        <w:rPr>
          <w:sz w:val="24"/>
          <w:szCs w:val="24"/>
          <w:rtl w:val="0"/>
          <w:lang w:val="en-US"/>
        </w:rPr>
        <w:t>s Vertical Scaled Score.</w:t>
      </w:r>
    </w:p>
    <w:p>
      <w:pPr>
        <w:pStyle w:val="heading 4"/>
      </w:pPr>
      <w:r>
        <w:rPr>
          <w:rFonts w:ascii="Arial Unicode MS" w:cs="Arial Unicode MS" w:hAnsi="Arial Unicode MS" w:eastAsia="Arial Unicode MS"/>
          <w:b w:val="0"/>
          <w:bCs w:val="0"/>
          <w:i w:val="0"/>
          <w:iCs w:val="0"/>
        </w:rPr>
        <w:br w:type="page"/>
      </w:r>
    </w:p>
    <w:p>
      <w:pPr>
        <w:pStyle w:val="Heading 2"/>
      </w:pPr>
      <w:r>
        <w:rPr>
          <w:rtl w:val="0"/>
          <w:lang w:val="en-US"/>
        </w:rPr>
        <w:t>Grade 4 Mathematics</w:t>
      </w:r>
      <w:r>
        <w:br w:type="textWrapping"/>
      </w:r>
      <w:r>
        <w:rPr>
          <w:rtl w:val="0"/>
          <w:lang w:val="en-US"/>
        </w:rPr>
        <w:t>Test Blueprint Summary Table</w:t>
      </w:r>
    </w:p>
    <w:p>
      <w:pPr>
        <w:pStyle w:val="Body"/>
        <w:rPr>
          <w:sz w:val="22"/>
          <w:szCs w:val="22"/>
        </w:rPr>
      </w:pPr>
      <w:bookmarkStart w:name="_Hlk125978360" w:id="1"/>
      <w:r>
        <w:rPr>
          <w:sz w:val="22"/>
          <w:szCs w:val="22"/>
          <w:rtl w:val="0"/>
          <w:lang w:val="en-US"/>
        </w:rPr>
        <w:t xml:space="preserve">Beginning in spring 2023, the computer adaptive Standards of Learning tests will include a section of additional items at the end of the test. </w:t>
      </w:r>
      <w:r>
        <w:rPr>
          <w:sz w:val="22"/>
          <w:szCs w:val="22"/>
          <w:shd w:val="clear" w:color="auto" w:fill="ffffff"/>
          <w:rtl w:val="0"/>
          <w:lang w:val="en-US"/>
        </w:rPr>
        <w:t>The computer algorithm may deliver items one grade level above or one grade level below a student's current grade based upon the student's responses to the on-grade-level items</w:t>
      </w:r>
      <w:r>
        <w:rPr>
          <w:sz w:val="22"/>
          <w:szCs w:val="22"/>
          <w:rtl w:val="0"/>
          <w:lang w:val="en-US"/>
        </w:rPr>
        <w:t>. The Test Scaled Score (0 to 600) and corresponding performance level (i.e., pass/proficient, pass/advanced, fail/basic, fail/below basic) are based upon a student</w:t>
      </w:r>
      <w:r>
        <w:rPr>
          <w:sz w:val="22"/>
          <w:szCs w:val="22"/>
          <w:rtl w:val="1"/>
        </w:rPr>
        <w:t>’</w:t>
      </w:r>
      <w:r>
        <w:rPr>
          <w:sz w:val="22"/>
          <w:szCs w:val="22"/>
          <w:rtl w:val="0"/>
          <w:lang w:val="en-US"/>
        </w:rPr>
        <w:t>s performance on the on-grade-level Operational Items only. The student</w:t>
      </w:r>
      <w:r>
        <w:rPr>
          <w:sz w:val="22"/>
          <w:szCs w:val="22"/>
          <w:rtl w:val="1"/>
        </w:rPr>
        <w:t>’</w:t>
      </w:r>
      <w:r>
        <w:rPr>
          <w:sz w:val="22"/>
          <w:szCs w:val="22"/>
          <w:rtl w:val="0"/>
          <w:lang w:val="en-US"/>
        </w:rPr>
        <w:t xml:space="preserve">s responses to the on-grade-level Operational Items </w:t>
      </w:r>
      <w:r>
        <w:rPr>
          <w:i w:val="1"/>
          <w:iCs w:val="1"/>
          <w:sz w:val="22"/>
          <w:szCs w:val="22"/>
          <w:rtl w:val="0"/>
          <w:lang w:val="en-US"/>
        </w:rPr>
        <w:t xml:space="preserve">and </w:t>
      </w:r>
      <w:r>
        <w:rPr>
          <w:sz w:val="22"/>
          <w:szCs w:val="22"/>
          <w:rtl w:val="0"/>
          <w:lang w:val="en-US"/>
        </w:rPr>
        <w:t>the Additional Items that may be on grade level, one grade level above, or one grade level below the current grade level will be reflected in the student</w:t>
      </w:r>
      <w:r>
        <w:rPr>
          <w:sz w:val="22"/>
          <w:szCs w:val="22"/>
          <w:rtl w:val="1"/>
        </w:rPr>
        <w:t>’</w:t>
      </w:r>
      <w:r>
        <w:rPr>
          <w:sz w:val="22"/>
          <w:szCs w:val="22"/>
          <w:rtl w:val="0"/>
          <w:lang w:val="en-US"/>
        </w:rPr>
        <w:t>s Vertical Scaled Score.</w:t>
      </w:r>
      <w:bookmarkEnd w:id="1"/>
    </w:p>
    <w:p>
      <w:pPr>
        <w:pStyle w:val="Body"/>
        <w:jc w:val="center"/>
        <w:rPr>
          <w:rFonts w:ascii="Arial Black" w:cs="Arial Black" w:hAnsi="Arial Black" w:eastAsia="Arial Black"/>
          <w:sz w:val="24"/>
          <w:szCs w:val="24"/>
        </w:rPr>
      </w:pPr>
    </w:p>
    <w:tbl>
      <w:tblPr>
        <w:tblW w:w="9152" w:type="dxa"/>
        <w:jc w:val="center"/>
        <w:tblInd w:w="30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539"/>
        <w:gridCol w:w="1774"/>
        <w:gridCol w:w="2228"/>
        <w:gridCol w:w="2611"/>
      </w:tblGrid>
      <w:tr>
        <w:tblPrEx>
          <w:shd w:val="clear" w:color="auto" w:fill="ced7e7"/>
        </w:tblPrEx>
        <w:trPr>
          <w:trHeight w:val="1207" w:hRule="atLeast"/>
        </w:trPr>
        <w:tc>
          <w:tcPr>
            <w:tcW w:type="dxa" w:w="25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0e0e0"/>
            <w:tcMar>
              <w:top w:type="dxa" w:w="80"/>
              <w:left w:type="dxa" w:w="80"/>
              <w:bottom w:type="dxa" w:w="80"/>
              <w:right w:type="dxa" w:w="80"/>
            </w:tcMar>
            <w:vAlign w:val="top"/>
          </w:tcPr>
          <w:p>
            <w:pPr>
              <w:pStyle w:val="Body"/>
              <w:jc w:val="center"/>
              <w:rPr>
                <w:b w:val="1"/>
                <w:bCs w:val="1"/>
                <w:sz w:val="22"/>
                <w:szCs w:val="22"/>
                <w:shd w:val="nil" w:color="auto" w:fill="auto"/>
                <w:lang w:val="en-US"/>
              </w:rPr>
            </w:pPr>
          </w:p>
          <w:p>
            <w:pPr>
              <w:pStyle w:val="Body"/>
              <w:bidi w:val="0"/>
              <w:ind w:left="0" w:right="0" w:firstLine="0"/>
              <w:jc w:val="center"/>
              <w:rPr>
                <w:rtl w:val="0"/>
              </w:rPr>
            </w:pPr>
            <w:r>
              <w:rPr>
                <w:b w:val="1"/>
                <w:bCs w:val="1"/>
                <w:sz w:val="22"/>
                <w:szCs w:val="22"/>
                <w:shd w:val="nil" w:color="auto" w:fill="auto"/>
                <w:rtl w:val="0"/>
                <w:lang w:val="en-US"/>
              </w:rPr>
              <w:t>Reporting Category</w:t>
            </w:r>
          </w:p>
        </w:tc>
        <w:tc>
          <w:tcPr>
            <w:tcW w:type="dxa" w:w="17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0e0e0"/>
            <w:tcMar>
              <w:top w:type="dxa" w:w="80"/>
              <w:left w:type="dxa" w:w="80"/>
              <w:bottom w:type="dxa" w:w="80"/>
              <w:right w:type="dxa" w:w="80"/>
            </w:tcMar>
            <w:vAlign w:val="top"/>
          </w:tcPr>
          <w:p>
            <w:pPr>
              <w:pStyle w:val="Body"/>
              <w:jc w:val="center"/>
              <w:rPr>
                <w:b w:val="1"/>
                <w:bCs w:val="1"/>
                <w:sz w:val="22"/>
                <w:szCs w:val="22"/>
                <w:shd w:val="nil" w:color="auto" w:fill="auto"/>
                <w:lang w:val="en-US"/>
              </w:rPr>
            </w:pPr>
          </w:p>
          <w:p>
            <w:pPr>
              <w:pStyle w:val="Body"/>
              <w:bidi w:val="0"/>
              <w:ind w:left="0" w:right="0" w:firstLine="0"/>
              <w:jc w:val="center"/>
              <w:rPr>
                <w:rtl w:val="0"/>
              </w:rPr>
            </w:pPr>
            <w:r>
              <w:rPr>
                <w:b w:val="1"/>
                <w:bCs w:val="1"/>
                <w:sz w:val="22"/>
                <w:szCs w:val="22"/>
                <w:shd w:val="nil" w:color="auto" w:fill="auto"/>
                <w:rtl w:val="0"/>
                <w:lang w:val="en-US"/>
              </w:rPr>
              <w:t>Grade 4 SOL</w:t>
            </w:r>
          </w:p>
        </w:tc>
        <w:tc>
          <w:tcPr>
            <w:tcW w:type="dxa" w:w="22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0e0e0"/>
            <w:tcMar>
              <w:top w:type="dxa" w:w="80"/>
              <w:left w:type="dxa" w:w="80"/>
              <w:bottom w:type="dxa" w:w="80"/>
              <w:right w:type="dxa" w:w="80"/>
            </w:tcMar>
            <w:vAlign w:val="top"/>
          </w:tcPr>
          <w:p>
            <w:pPr>
              <w:pStyle w:val="Body"/>
              <w:jc w:val="center"/>
              <w:rPr>
                <w:b w:val="1"/>
                <w:bCs w:val="1"/>
                <w:sz w:val="22"/>
                <w:szCs w:val="22"/>
                <w:shd w:val="nil" w:color="auto" w:fill="auto"/>
                <w:lang w:val="en-US"/>
              </w:rPr>
            </w:pPr>
          </w:p>
          <w:p>
            <w:pPr>
              <w:pStyle w:val="Body"/>
              <w:bidi w:val="0"/>
              <w:ind w:left="0" w:right="0" w:firstLine="0"/>
              <w:jc w:val="center"/>
              <w:rPr>
                <w:b w:val="1"/>
                <w:bCs w:val="1"/>
                <w:sz w:val="22"/>
                <w:szCs w:val="22"/>
                <w:shd w:val="nil" w:color="auto" w:fill="auto"/>
                <w:rtl w:val="0"/>
              </w:rPr>
            </w:pPr>
            <w:r>
              <w:rPr>
                <w:b w:val="1"/>
                <w:bCs w:val="1"/>
                <w:sz w:val="22"/>
                <w:szCs w:val="22"/>
                <w:shd w:val="nil" w:color="auto" w:fill="auto"/>
                <w:rtl w:val="0"/>
                <w:lang w:val="en-US"/>
              </w:rPr>
              <w:t>Number of Items</w:t>
            </w:r>
          </w:p>
          <w:p>
            <w:pPr>
              <w:pStyle w:val="Body"/>
              <w:jc w:val="center"/>
              <w:rPr>
                <w:b w:val="1"/>
                <w:bCs w:val="1"/>
                <w:sz w:val="22"/>
                <w:szCs w:val="22"/>
                <w:shd w:val="nil" w:color="auto" w:fill="auto"/>
                <w:lang w:val="en-US"/>
              </w:rPr>
            </w:pPr>
          </w:p>
          <w:p>
            <w:pPr>
              <w:pStyle w:val="Body"/>
              <w:bidi w:val="0"/>
              <w:ind w:left="0" w:right="0" w:firstLine="0"/>
              <w:jc w:val="center"/>
              <w:rPr>
                <w:rtl w:val="0"/>
              </w:rPr>
            </w:pPr>
            <w:r>
              <w:rPr>
                <w:b w:val="1"/>
                <w:bCs w:val="1"/>
                <w:sz w:val="22"/>
                <w:szCs w:val="22"/>
                <w:shd w:val="nil" w:color="auto" w:fill="auto"/>
                <w:rtl w:val="0"/>
                <w:lang w:val="en-US"/>
              </w:rPr>
              <w:t>Computer Adaptive Test (CAT) Format</w:t>
            </w:r>
          </w:p>
        </w:tc>
        <w:tc>
          <w:tcPr>
            <w:tcW w:type="dxa" w:w="26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0e0e0"/>
            <w:tcMar>
              <w:top w:type="dxa" w:w="80"/>
              <w:left w:type="dxa" w:w="80"/>
              <w:bottom w:type="dxa" w:w="80"/>
              <w:right w:type="dxa" w:w="80"/>
            </w:tcMar>
            <w:vAlign w:val="top"/>
          </w:tcPr>
          <w:p>
            <w:pPr>
              <w:pStyle w:val="Body"/>
              <w:jc w:val="center"/>
              <w:rPr>
                <w:b w:val="1"/>
                <w:bCs w:val="1"/>
                <w:sz w:val="22"/>
                <w:szCs w:val="22"/>
                <w:shd w:val="nil" w:color="auto" w:fill="auto"/>
                <w:lang w:val="en-US"/>
              </w:rPr>
            </w:pPr>
          </w:p>
          <w:p>
            <w:pPr>
              <w:pStyle w:val="Body"/>
              <w:bidi w:val="0"/>
              <w:ind w:left="0" w:right="0" w:firstLine="0"/>
              <w:jc w:val="center"/>
              <w:rPr>
                <w:b w:val="1"/>
                <w:bCs w:val="1"/>
                <w:sz w:val="22"/>
                <w:szCs w:val="22"/>
                <w:shd w:val="nil" w:color="auto" w:fill="auto"/>
                <w:rtl w:val="0"/>
              </w:rPr>
            </w:pPr>
            <w:r>
              <w:rPr>
                <w:b w:val="1"/>
                <w:bCs w:val="1"/>
                <w:sz w:val="22"/>
                <w:szCs w:val="22"/>
                <w:shd w:val="nil" w:color="auto" w:fill="auto"/>
                <w:rtl w:val="0"/>
                <w:lang w:val="en-US"/>
              </w:rPr>
              <w:t>Number of Items</w:t>
            </w:r>
          </w:p>
          <w:p>
            <w:pPr>
              <w:pStyle w:val="Body"/>
              <w:jc w:val="center"/>
              <w:rPr>
                <w:b w:val="1"/>
                <w:bCs w:val="1"/>
                <w:sz w:val="22"/>
                <w:szCs w:val="22"/>
                <w:shd w:val="nil" w:color="auto" w:fill="auto"/>
                <w:lang w:val="en-US"/>
              </w:rPr>
            </w:pPr>
          </w:p>
          <w:p>
            <w:pPr>
              <w:pStyle w:val="Body"/>
              <w:bidi w:val="0"/>
              <w:ind w:left="0" w:right="0" w:firstLine="0"/>
              <w:jc w:val="center"/>
              <w:rPr>
                <w:rtl w:val="0"/>
              </w:rPr>
            </w:pPr>
            <w:r>
              <w:rPr>
                <w:b w:val="1"/>
                <w:bCs w:val="1"/>
                <w:sz w:val="22"/>
                <w:szCs w:val="22"/>
                <w:shd w:val="nil" w:color="auto" w:fill="auto"/>
                <w:rtl w:val="0"/>
                <w:lang w:val="en-US"/>
              </w:rPr>
              <w:t>Paper Format</w:t>
            </w:r>
          </w:p>
        </w:tc>
      </w:tr>
      <w:tr>
        <w:tblPrEx>
          <w:shd w:val="clear" w:color="auto" w:fill="ced7e7"/>
        </w:tblPrEx>
        <w:trPr>
          <w:trHeight w:val="820" w:hRule="atLeast"/>
        </w:trPr>
        <w:tc>
          <w:tcPr>
            <w:tcW w:type="dxa" w:w="25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240"/>
            </w:pPr>
            <w:r>
              <w:rPr>
                <w:b w:val="1"/>
                <w:bCs w:val="1"/>
                <w:sz w:val="22"/>
                <w:szCs w:val="22"/>
                <w:shd w:val="nil" w:color="auto" w:fill="auto"/>
                <w:rtl w:val="0"/>
                <w:lang w:val="en-US"/>
              </w:rPr>
              <w:t>Number and Number Sense</w:t>
            </w:r>
            <w:r>
              <w:rPr>
                <w:b w:val="1"/>
                <w:bCs w:val="1"/>
                <w:sz w:val="22"/>
                <w:szCs w:val="22"/>
                <w:shd w:val="nil" w:color="auto" w:fill="auto"/>
              </w:rPr>
            </w:r>
          </w:p>
        </w:tc>
        <w:tc>
          <w:tcPr>
            <w:tcW w:type="dxa" w:w="17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120"/>
              <w:rPr>
                <w:b w:val="1"/>
                <w:bCs w:val="1"/>
                <w:sz w:val="22"/>
                <w:szCs w:val="22"/>
                <w:shd w:val="nil" w:color="auto" w:fill="auto"/>
              </w:rPr>
            </w:pPr>
            <w:r>
              <w:rPr>
                <w:b w:val="1"/>
                <w:bCs w:val="1"/>
                <w:sz w:val="22"/>
                <w:szCs w:val="22"/>
                <w:shd w:val="nil" w:color="auto" w:fill="auto"/>
                <w:rtl w:val="0"/>
                <w:lang w:val="en-US"/>
              </w:rPr>
              <w:t>4.1a-c</w:t>
            </w:r>
          </w:p>
          <w:p>
            <w:pPr>
              <w:pStyle w:val="Body"/>
              <w:bidi w:val="0"/>
              <w:ind w:left="0" w:right="0" w:firstLine="0"/>
              <w:jc w:val="left"/>
              <w:rPr>
                <w:b w:val="1"/>
                <w:bCs w:val="1"/>
                <w:sz w:val="22"/>
                <w:szCs w:val="22"/>
                <w:shd w:val="nil" w:color="auto" w:fill="auto"/>
                <w:rtl w:val="0"/>
              </w:rPr>
            </w:pPr>
            <w:r>
              <w:rPr>
                <w:b w:val="1"/>
                <w:bCs w:val="1"/>
                <w:sz w:val="22"/>
                <w:szCs w:val="22"/>
                <w:shd w:val="nil" w:color="auto" w:fill="auto"/>
                <w:rtl w:val="0"/>
                <w:lang w:val="en-US"/>
              </w:rPr>
              <w:t>4.2a*, b*, c</w:t>
            </w:r>
          </w:p>
          <w:p>
            <w:pPr>
              <w:pStyle w:val="Body"/>
              <w:bidi w:val="0"/>
              <w:ind w:left="0" w:right="0" w:firstLine="0"/>
              <w:jc w:val="left"/>
              <w:rPr>
                <w:rtl w:val="0"/>
              </w:rPr>
            </w:pPr>
            <w:r>
              <w:rPr>
                <w:b w:val="1"/>
                <w:bCs w:val="1"/>
                <w:sz w:val="22"/>
                <w:szCs w:val="22"/>
                <w:shd w:val="nil" w:color="auto" w:fill="auto"/>
                <w:rtl w:val="0"/>
                <w:lang w:val="en-US"/>
              </w:rPr>
              <w:t>4.3a-c, d*</w:t>
            </w:r>
          </w:p>
        </w:tc>
        <w:tc>
          <w:tcPr>
            <w:tcW w:type="dxa" w:w="22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before="240"/>
              <w:jc w:val="center"/>
            </w:pPr>
            <w:r>
              <w:rPr>
                <w:b w:val="1"/>
                <w:bCs w:val="1"/>
                <w:sz w:val="22"/>
                <w:szCs w:val="22"/>
                <w:shd w:val="nil" w:color="auto" w:fill="auto"/>
                <w:rtl w:val="0"/>
                <w:lang w:val="en-US"/>
              </w:rPr>
              <w:t>9</w:t>
            </w:r>
          </w:p>
        </w:tc>
        <w:tc>
          <w:tcPr>
            <w:tcW w:type="dxa" w:w="26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before="240"/>
              <w:jc w:val="center"/>
            </w:pPr>
            <w:r>
              <w:rPr>
                <w:b w:val="1"/>
                <w:bCs w:val="1"/>
                <w:sz w:val="22"/>
                <w:szCs w:val="22"/>
                <w:shd w:val="nil" w:color="auto" w:fill="auto"/>
                <w:rtl w:val="0"/>
                <w:lang w:val="en-US"/>
              </w:rPr>
              <w:t>12</w:t>
            </w:r>
          </w:p>
        </w:tc>
      </w:tr>
      <w:tr>
        <w:tblPrEx>
          <w:shd w:val="clear" w:color="auto" w:fill="ced7e7"/>
        </w:tblPrEx>
        <w:trPr>
          <w:trHeight w:val="721" w:hRule="atLeast"/>
        </w:trPr>
        <w:tc>
          <w:tcPr>
            <w:tcW w:type="dxa" w:w="25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240"/>
            </w:pPr>
            <w:r>
              <w:rPr>
                <w:b w:val="1"/>
                <w:bCs w:val="1"/>
                <w:sz w:val="22"/>
                <w:szCs w:val="22"/>
                <w:shd w:val="nil" w:color="auto" w:fill="auto"/>
                <w:rtl w:val="0"/>
                <w:lang w:val="en-US"/>
              </w:rPr>
              <w:t>Computation and Estimation</w:t>
            </w:r>
            <w:r>
              <w:rPr>
                <w:b w:val="1"/>
                <w:bCs w:val="1"/>
                <w:sz w:val="22"/>
                <w:szCs w:val="22"/>
                <w:shd w:val="nil" w:color="auto" w:fill="auto"/>
              </w:rPr>
            </w:r>
          </w:p>
        </w:tc>
        <w:tc>
          <w:tcPr>
            <w:tcW w:type="dxa" w:w="17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rPr>
                <w:b w:val="1"/>
                <w:bCs w:val="1"/>
                <w:sz w:val="22"/>
                <w:szCs w:val="22"/>
                <w:shd w:val="nil" w:color="auto" w:fill="auto"/>
              </w:rPr>
            </w:pPr>
            <w:r>
              <w:rPr>
                <w:b w:val="1"/>
                <w:bCs w:val="1"/>
                <w:sz w:val="22"/>
                <w:szCs w:val="22"/>
                <w:shd w:val="nil" w:color="auto" w:fill="auto"/>
                <w:rtl w:val="0"/>
                <w:lang w:val="en-US"/>
              </w:rPr>
              <w:t>4.4a*, b*, c*, d</w:t>
            </w:r>
          </w:p>
          <w:p>
            <w:pPr>
              <w:pStyle w:val="Body"/>
              <w:bidi w:val="0"/>
              <w:ind w:left="0" w:right="0" w:firstLine="0"/>
              <w:jc w:val="left"/>
              <w:rPr>
                <w:b w:val="1"/>
                <w:bCs w:val="1"/>
                <w:sz w:val="22"/>
                <w:szCs w:val="22"/>
                <w:shd w:val="nil" w:color="auto" w:fill="auto"/>
                <w:rtl w:val="0"/>
              </w:rPr>
            </w:pPr>
            <w:r>
              <w:rPr>
                <w:b w:val="1"/>
                <w:bCs w:val="1"/>
                <w:sz w:val="22"/>
                <w:szCs w:val="22"/>
                <w:shd w:val="nil" w:color="auto" w:fill="auto"/>
                <w:rtl w:val="0"/>
                <w:lang w:val="en-US"/>
              </w:rPr>
              <w:t>4.5a, b*, c</w:t>
            </w:r>
          </w:p>
          <w:p>
            <w:pPr>
              <w:pStyle w:val="Body"/>
              <w:bidi w:val="0"/>
              <w:ind w:left="0" w:right="0" w:firstLine="0"/>
              <w:jc w:val="left"/>
              <w:rPr>
                <w:rtl w:val="0"/>
              </w:rPr>
            </w:pPr>
            <w:r>
              <w:rPr>
                <w:b w:val="1"/>
                <w:bCs w:val="1"/>
                <w:sz w:val="22"/>
                <w:szCs w:val="22"/>
                <w:shd w:val="nil" w:color="auto" w:fill="auto"/>
                <w:rtl w:val="0"/>
                <w:lang w:val="en-US"/>
              </w:rPr>
              <w:t>4.6a*, b</w:t>
            </w:r>
          </w:p>
        </w:tc>
        <w:tc>
          <w:tcPr>
            <w:tcW w:type="dxa" w:w="22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before="240"/>
              <w:jc w:val="center"/>
            </w:pPr>
            <w:r>
              <w:rPr>
                <w:b w:val="1"/>
                <w:bCs w:val="1"/>
                <w:sz w:val="22"/>
                <w:szCs w:val="22"/>
                <w:shd w:val="nil" w:color="auto" w:fill="auto"/>
                <w:rtl w:val="0"/>
                <w:lang w:val="en-US"/>
              </w:rPr>
              <w:t>10</w:t>
            </w:r>
          </w:p>
        </w:tc>
        <w:tc>
          <w:tcPr>
            <w:tcW w:type="dxa" w:w="26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before="240"/>
              <w:jc w:val="center"/>
            </w:pPr>
            <w:r>
              <w:rPr>
                <w:b w:val="1"/>
                <w:bCs w:val="1"/>
                <w:sz w:val="22"/>
                <w:szCs w:val="22"/>
                <w:shd w:val="nil" w:color="auto" w:fill="auto"/>
                <w:rtl w:val="0"/>
                <w:lang w:val="en-US"/>
              </w:rPr>
              <w:t>14</w:t>
            </w:r>
          </w:p>
        </w:tc>
      </w:tr>
      <w:tr>
        <w:tblPrEx>
          <w:shd w:val="clear" w:color="auto" w:fill="ced7e7"/>
        </w:tblPrEx>
        <w:trPr>
          <w:trHeight w:val="1441" w:hRule="atLeast"/>
        </w:trPr>
        <w:tc>
          <w:tcPr>
            <w:tcW w:type="dxa" w:w="25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240"/>
            </w:pPr>
            <w:r>
              <w:rPr>
                <w:b w:val="1"/>
                <w:bCs w:val="1"/>
                <w:sz w:val="22"/>
                <w:szCs w:val="22"/>
                <w:shd w:val="nil" w:color="auto" w:fill="auto"/>
                <w:rtl w:val="0"/>
                <w:lang w:val="en-US"/>
              </w:rPr>
              <w:t>Measurement and Geometry</w:t>
            </w:r>
            <w:r>
              <w:rPr>
                <w:b w:val="1"/>
                <w:bCs w:val="1"/>
                <w:sz w:val="22"/>
                <w:szCs w:val="22"/>
                <w:shd w:val="nil" w:color="auto" w:fill="auto"/>
              </w:rPr>
            </w:r>
          </w:p>
        </w:tc>
        <w:tc>
          <w:tcPr>
            <w:tcW w:type="dxa" w:w="17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rPr>
                <w:b w:val="1"/>
                <w:bCs w:val="1"/>
                <w:sz w:val="22"/>
                <w:szCs w:val="22"/>
                <w:shd w:val="nil" w:color="auto" w:fill="auto"/>
              </w:rPr>
            </w:pPr>
            <w:r>
              <w:rPr>
                <w:b w:val="1"/>
                <w:bCs w:val="1"/>
                <w:sz w:val="22"/>
                <w:szCs w:val="22"/>
                <w:shd w:val="nil" w:color="auto" w:fill="auto"/>
                <w:rtl w:val="0"/>
                <w:lang w:val="en-US"/>
              </w:rPr>
              <w:t>4.7</w:t>
            </w:r>
          </w:p>
          <w:p>
            <w:pPr>
              <w:pStyle w:val="Body"/>
              <w:bidi w:val="0"/>
              <w:ind w:left="0" w:right="0" w:firstLine="0"/>
              <w:jc w:val="left"/>
              <w:rPr>
                <w:b w:val="1"/>
                <w:bCs w:val="1"/>
                <w:sz w:val="22"/>
                <w:szCs w:val="22"/>
                <w:shd w:val="nil" w:color="auto" w:fill="auto"/>
                <w:rtl w:val="0"/>
              </w:rPr>
            </w:pPr>
            <w:r>
              <w:rPr>
                <w:b w:val="1"/>
                <w:bCs w:val="1"/>
                <w:sz w:val="22"/>
                <w:szCs w:val="22"/>
                <w:shd w:val="nil" w:color="auto" w:fill="auto"/>
                <w:rtl w:val="0"/>
                <w:lang w:val="en-US"/>
              </w:rPr>
              <w:t>4.8a-d</w:t>
            </w:r>
          </w:p>
          <w:p>
            <w:pPr>
              <w:pStyle w:val="Body"/>
              <w:bidi w:val="0"/>
              <w:ind w:left="0" w:right="0" w:firstLine="0"/>
              <w:jc w:val="left"/>
              <w:rPr>
                <w:b w:val="1"/>
                <w:bCs w:val="1"/>
                <w:sz w:val="22"/>
                <w:szCs w:val="22"/>
                <w:shd w:val="nil" w:color="auto" w:fill="auto"/>
                <w:rtl w:val="0"/>
              </w:rPr>
            </w:pPr>
            <w:r>
              <w:rPr>
                <w:b w:val="1"/>
                <w:bCs w:val="1"/>
                <w:sz w:val="22"/>
                <w:szCs w:val="22"/>
                <w:shd w:val="nil" w:color="auto" w:fill="auto"/>
                <w:rtl w:val="0"/>
                <w:lang w:val="en-US"/>
              </w:rPr>
              <w:t>4.9</w:t>
            </w:r>
          </w:p>
          <w:p>
            <w:pPr>
              <w:pStyle w:val="Body"/>
              <w:bidi w:val="0"/>
              <w:ind w:left="0" w:right="0" w:firstLine="0"/>
              <w:jc w:val="left"/>
              <w:rPr>
                <w:b w:val="1"/>
                <w:bCs w:val="1"/>
                <w:sz w:val="22"/>
                <w:szCs w:val="22"/>
                <w:shd w:val="nil" w:color="auto" w:fill="auto"/>
                <w:rtl w:val="0"/>
              </w:rPr>
            </w:pPr>
            <w:r>
              <w:rPr>
                <w:b w:val="1"/>
                <w:bCs w:val="1"/>
                <w:sz w:val="22"/>
                <w:szCs w:val="22"/>
                <w:shd w:val="nil" w:color="auto" w:fill="auto"/>
                <w:rtl w:val="0"/>
                <w:lang w:val="en-US"/>
              </w:rPr>
              <w:t>4.10a-b</w:t>
            </w:r>
          </w:p>
          <w:p>
            <w:pPr>
              <w:pStyle w:val="Body"/>
              <w:bidi w:val="0"/>
              <w:ind w:left="0" w:right="0" w:firstLine="0"/>
              <w:jc w:val="left"/>
              <w:rPr>
                <w:b w:val="1"/>
                <w:bCs w:val="1"/>
                <w:sz w:val="22"/>
                <w:szCs w:val="22"/>
                <w:shd w:val="nil" w:color="auto" w:fill="auto"/>
                <w:rtl w:val="0"/>
              </w:rPr>
            </w:pPr>
            <w:r>
              <w:rPr>
                <w:b w:val="1"/>
                <w:bCs w:val="1"/>
                <w:sz w:val="22"/>
                <w:szCs w:val="22"/>
                <w:shd w:val="nil" w:color="auto" w:fill="auto"/>
                <w:rtl w:val="0"/>
                <w:lang w:val="en-US"/>
              </w:rPr>
              <w:t>4.11</w:t>
            </w:r>
          </w:p>
          <w:p>
            <w:pPr>
              <w:pStyle w:val="Body"/>
              <w:bidi w:val="0"/>
              <w:ind w:left="0" w:right="0" w:firstLine="0"/>
              <w:jc w:val="left"/>
              <w:rPr>
                <w:rtl w:val="0"/>
              </w:rPr>
            </w:pPr>
            <w:r>
              <w:rPr>
                <w:b w:val="1"/>
                <w:bCs w:val="1"/>
                <w:sz w:val="22"/>
                <w:szCs w:val="22"/>
                <w:shd w:val="nil" w:color="auto" w:fill="auto"/>
                <w:rtl w:val="0"/>
                <w:lang w:val="en-US"/>
              </w:rPr>
              <w:t>4.12</w:t>
            </w:r>
          </w:p>
        </w:tc>
        <w:tc>
          <w:tcPr>
            <w:tcW w:type="dxa" w:w="22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before="240"/>
              <w:jc w:val="center"/>
            </w:pPr>
            <w:r>
              <w:rPr>
                <w:b w:val="1"/>
                <w:bCs w:val="1"/>
                <w:sz w:val="22"/>
                <w:szCs w:val="22"/>
                <w:shd w:val="nil" w:color="auto" w:fill="auto"/>
                <w:rtl w:val="0"/>
                <w:lang w:val="en-US"/>
              </w:rPr>
              <w:t>8</w:t>
            </w:r>
          </w:p>
        </w:tc>
        <w:tc>
          <w:tcPr>
            <w:tcW w:type="dxa" w:w="26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before="240"/>
              <w:jc w:val="center"/>
            </w:pPr>
            <w:r>
              <w:rPr>
                <w:b w:val="1"/>
                <w:bCs w:val="1"/>
                <w:sz w:val="22"/>
                <w:szCs w:val="22"/>
                <w:shd w:val="nil" w:color="auto" w:fill="auto"/>
                <w:rtl w:val="0"/>
                <w:lang w:val="en-US"/>
              </w:rPr>
              <w:t>12</w:t>
            </w:r>
          </w:p>
        </w:tc>
      </w:tr>
      <w:tr>
        <w:tblPrEx>
          <w:shd w:val="clear" w:color="auto" w:fill="ced7e7"/>
        </w:tblPrEx>
        <w:trPr>
          <w:trHeight w:val="961" w:hRule="atLeast"/>
        </w:trPr>
        <w:tc>
          <w:tcPr>
            <w:tcW w:type="dxa" w:w="25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240"/>
            </w:pPr>
            <w:r>
              <w:rPr>
                <w:b w:val="1"/>
                <w:bCs w:val="1"/>
                <w:sz w:val="22"/>
                <w:szCs w:val="22"/>
                <w:shd w:val="nil" w:color="auto" w:fill="auto"/>
                <w:rtl w:val="0"/>
                <w:lang w:val="en-US"/>
              </w:rPr>
              <w:t xml:space="preserve">Probability, Statistics, Patterns, Functions, and Algebra </w:t>
            </w:r>
            <w:r>
              <w:rPr>
                <w:b w:val="1"/>
                <w:bCs w:val="1"/>
                <w:sz w:val="22"/>
                <w:szCs w:val="22"/>
                <w:shd w:val="nil" w:color="auto" w:fill="auto"/>
              </w:rPr>
            </w:r>
          </w:p>
        </w:tc>
        <w:tc>
          <w:tcPr>
            <w:tcW w:type="dxa" w:w="17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120"/>
              <w:rPr>
                <w:b w:val="1"/>
                <w:bCs w:val="1"/>
                <w:sz w:val="22"/>
                <w:szCs w:val="22"/>
                <w:shd w:val="nil" w:color="auto" w:fill="auto"/>
              </w:rPr>
            </w:pPr>
            <w:r>
              <w:rPr>
                <w:b w:val="1"/>
                <w:bCs w:val="1"/>
                <w:sz w:val="22"/>
                <w:szCs w:val="22"/>
                <w:shd w:val="nil" w:color="auto" w:fill="auto"/>
                <w:rtl w:val="0"/>
                <w:lang w:val="en-US"/>
              </w:rPr>
              <w:t>4.13a-c</w:t>
            </w:r>
          </w:p>
          <w:p>
            <w:pPr>
              <w:pStyle w:val="Body"/>
              <w:bidi w:val="0"/>
              <w:ind w:left="0" w:right="0" w:firstLine="0"/>
              <w:jc w:val="left"/>
              <w:rPr>
                <w:b w:val="1"/>
                <w:bCs w:val="1"/>
                <w:sz w:val="22"/>
                <w:szCs w:val="22"/>
                <w:shd w:val="nil" w:color="auto" w:fill="auto"/>
                <w:rtl w:val="0"/>
              </w:rPr>
            </w:pPr>
            <w:r>
              <w:rPr>
                <w:b w:val="1"/>
                <w:bCs w:val="1"/>
                <w:sz w:val="22"/>
                <w:szCs w:val="22"/>
                <w:shd w:val="nil" w:color="auto" w:fill="auto"/>
                <w:rtl w:val="0"/>
                <w:lang w:val="en-US"/>
              </w:rPr>
              <w:t>4.14a-c</w:t>
            </w:r>
          </w:p>
          <w:p>
            <w:pPr>
              <w:pStyle w:val="Body"/>
              <w:bidi w:val="0"/>
              <w:ind w:left="0" w:right="0" w:firstLine="0"/>
              <w:jc w:val="left"/>
              <w:rPr>
                <w:b w:val="1"/>
                <w:bCs w:val="1"/>
                <w:sz w:val="22"/>
                <w:szCs w:val="22"/>
                <w:shd w:val="nil" w:color="auto" w:fill="auto"/>
                <w:rtl w:val="0"/>
              </w:rPr>
            </w:pPr>
            <w:r>
              <w:rPr>
                <w:b w:val="1"/>
                <w:bCs w:val="1"/>
                <w:sz w:val="22"/>
                <w:szCs w:val="22"/>
                <w:shd w:val="nil" w:color="auto" w:fill="auto"/>
                <w:rtl w:val="0"/>
                <w:lang w:val="en-US"/>
              </w:rPr>
              <w:t>4.15</w:t>
            </w:r>
          </w:p>
          <w:p>
            <w:pPr>
              <w:pStyle w:val="Body"/>
              <w:bidi w:val="0"/>
              <w:ind w:left="0" w:right="0" w:firstLine="0"/>
              <w:jc w:val="left"/>
              <w:rPr>
                <w:rtl w:val="0"/>
              </w:rPr>
            </w:pPr>
            <w:r>
              <w:rPr>
                <w:b w:val="1"/>
                <w:bCs w:val="1"/>
                <w:sz w:val="22"/>
                <w:szCs w:val="22"/>
                <w:shd w:val="nil" w:color="auto" w:fill="auto"/>
                <w:rtl w:val="0"/>
                <w:lang w:val="en-US"/>
              </w:rPr>
              <w:t>4.16</w:t>
            </w:r>
          </w:p>
        </w:tc>
        <w:tc>
          <w:tcPr>
            <w:tcW w:type="dxa" w:w="22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before="240"/>
              <w:jc w:val="center"/>
            </w:pPr>
            <w:r>
              <w:rPr>
                <w:b w:val="1"/>
                <w:bCs w:val="1"/>
                <w:sz w:val="22"/>
                <w:szCs w:val="22"/>
                <w:shd w:val="nil" w:color="auto" w:fill="auto"/>
                <w:rtl w:val="0"/>
                <w:lang w:val="en-US"/>
              </w:rPr>
              <w:t>8</w:t>
            </w:r>
          </w:p>
        </w:tc>
        <w:tc>
          <w:tcPr>
            <w:tcW w:type="dxa" w:w="26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before="240"/>
              <w:jc w:val="center"/>
            </w:pPr>
            <w:r>
              <w:rPr>
                <w:b w:val="1"/>
                <w:bCs w:val="1"/>
                <w:sz w:val="22"/>
                <w:szCs w:val="22"/>
                <w:shd w:val="nil" w:color="auto" w:fill="auto"/>
                <w:rtl w:val="0"/>
                <w:lang w:val="en-US"/>
              </w:rPr>
              <w:t>12</w:t>
            </w:r>
          </w:p>
        </w:tc>
      </w:tr>
      <w:tr>
        <w:tblPrEx>
          <w:shd w:val="clear" w:color="auto" w:fill="ced7e7"/>
        </w:tblPrEx>
        <w:trPr>
          <w:trHeight w:val="241" w:hRule="atLeast"/>
        </w:trPr>
        <w:tc>
          <w:tcPr>
            <w:tcW w:type="dxa" w:w="431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b w:val="1"/>
                <w:bCs w:val="1"/>
                <w:sz w:val="22"/>
                <w:szCs w:val="22"/>
                <w:shd w:val="nil" w:color="auto" w:fill="auto"/>
                <w:rtl w:val="0"/>
                <w:lang w:val="en-US"/>
              </w:rPr>
              <w:t>Number of Operational Items</w:t>
            </w:r>
          </w:p>
        </w:tc>
        <w:tc>
          <w:tcPr>
            <w:tcW w:type="dxa" w:w="22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b w:val="1"/>
                <w:bCs w:val="1"/>
                <w:sz w:val="22"/>
                <w:szCs w:val="22"/>
                <w:shd w:val="nil" w:color="auto" w:fill="auto"/>
                <w:rtl w:val="0"/>
                <w:lang w:val="en-US"/>
              </w:rPr>
              <w:t>35</w:t>
            </w:r>
          </w:p>
        </w:tc>
        <w:tc>
          <w:tcPr>
            <w:tcW w:type="dxa" w:w="26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b w:val="1"/>
                <w:bCs w:val="1"/>
                <w:sz w:val="22"/>
                <w:szCs w:val="22"/>
                <w:shd w:val="nil" w:color="auto" w:fill="auto"/>
                <w:rtl w:val="0"/>
                <w:lang w:val="en-US"/>
              </w:rPr>
              <w:t>50</w:t>
            </w:r>
          </w:p>
        </w:tc>
      </w:tr>
      <w:tr>
        <w:tblPrEx>
          <w:shd w:val="clear" w:color="auto" w:fill="ced7e7"/>
        </w:tblPrEx>
        <w:trPr>
          <w:trHeight w:val="241" w:hRule="atLeast"/>
        </w:trPr>
        <w:tc>
          <w:tcPr>
            <w:tcW w:type="dxa" w:w="431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b w:val="1"/>
                <w:bCs w:val="1"/>
                <w:sz w:val="22"/>
                <w:szCs w:val="22"/>
                <w:shd w:val="nil" w:color="auto" w:fill="auto"/>
                <w:rtl w:val="0"/>
                <w:lang w:val="en-US"/>
              </w:rPr>
              <w:t>Number of Field-Test Items**</w:t>
            </w:r>
          </w:p>
        </w:tc>
        <w:tc>
          <w:tcPr>
            <w:tcW w:type="dxa" w:w="22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b w:val="1"/>
                <w:bCs w:val="1"/>
                <w:sz w:val="22"/>
                <w:szCs w:val="22"/>
                <w:shd w:val="nil" w:color="auto" w:fill="auto"/>
                <w:rtl w:val="0"/>
                <w:lang w:val="en-US"/>
              </w:rPr>
              <w:t>5</w:t>
            </w:r>
          </w:p>
        </w:tc>
        <w:tc>
          <w:tcPr>
            <w:tcW w:type="dxa" w:w="26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b w:val="1"/>
                <w:bCs w:val="1"/>
                <w:sz w:val="22"/>
                <w:szCs w:val="22"/>
                <w:shd w:val="nil" w:color="auto" w:fill="auto"/>
                <w:rtl w:val="0"/>
                <w:lang w:val="en-US"/>
              </w:rPr>
              <w:t>0</w:t>
            </w:r>
          </w:p>
        </w:tc>
      </w:tr>
      <w:tr>
        <w:tblPrEx>
          <w:shd w:val="clear" w:color="auto" w:fill="ced7e7"/>
        </w:tblPrEx>
        <w:trPr>
          <w:trHeight w:val="481" w:hRule="atLeast"/>
        </w:trPr>
        <w:tc>
          <w:tcPr>
            <w:tcW w:type="dxa" w:w="431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b w:val="1"/>
                <w:bCs w:val="1"/>
                <w:sz w:val="22"/>
                <w:szCs w:val="22"/>
                <w:shd w:val="nil" w:color="auto" w:fill="auto"/>
                <w:rtl w:val="0"/>
                <w:lang w:val="en-US"/>
              </w:rPr>
              <w:t>Number of Additional On- or Off-Grade- Level Items***</w:t>
            </w:r>
          </w:p>
        </w:tc>
        <w:tc>
          <w:tcPr>
            <w:tcW w:type="dxa" w:w="22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b w:val="1"/>
                <w:bCs w:val="1"/>
                <w:sz w:val="22"/>
                <w:szCs w:val="22"/>
                <w:shd w:val="nil" w:color="auto" w:fill="auto"/>
                <w:rtl w:val="0"/>
                <w:lang w:val="en-US"/>
              </w:rPr>
              <w:t>6</w:t>
            </w:r>
          </w:p>
        </w:tc>
        <w:tc>
          <w:tcPr>
            <w:tcW w:type="dxa" w:w="26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b w:val="1"/>
                <w:bCs w:val="1"/>
                <w:sz w:val="22"/>
                <w:szCs w:val="22"/>
                <w:shd w:val="nil" w:color="auto" w:fill="auto"/>
                <w:rtl w:val="0"/>
                <w:lang w:val="en-US"/>
              </w:rPr>
              <w:t>0</w:t>
            </w:r>
          </w:p>
        </w:tc>
      </w:tr>
    </w:tbl>
    <w:p>
      <w:pPr>
        <w:pStyle w:val="Body"/>
        <w:widowControl w:val="0"/>
        <w:ind w:left="198" w:hanging="198"/>
        <w:jc w:val="center"/>
        <w:rPr>
          <w:rFonts w:ascii="Arial Black" w:cs="Arial Black" w:hAnsi="Arial Black" w:eastAsia="Arial Black"/>
          <w:sz w:val="24"/>
          <w:szCs w:val="24"/>
        </w:rPr>
      </w:pPr>
    </w:p>
    <w:p>
      <w:pPr>
        <w:pStyle w:val="Body"/>
      </w:pPr>
      <w:r>
        <w:rPr>
          <w:rtl w:val="0"/>
          <w:lang w:val="en-US"/>
        </w:rPr>
        <w:t xml:space="preserve">*Items measuring these SOL will be completed </w:t>
      </w:r>
      <w:r>
        <w:rPr>
          <w:u w:val="single"/>
          <w:rtl w:val="0"/>
          <w:lang w:val="en-US"/>
        </w:rPr>
        <w:t>without</w:t>
      </w:r>
      <w:r>
        <w:rPr>
          <w:rtl w:val="0"/>
          <w:lang w:val="en-US"/>
        </w:rPr>
        <w:t xml:space="preserve"> the use of a calculator. Calculator-active items will have the online calculator included with the item. Grade 3 SOL test items will be measured without the use of a calculator. For additional information, please refer to the list of Online Mathematics Tools available on the Grades 3-8 Mathematics Growth Assessments.</w:t>
      </w:r>
    </w:p>
    <w:p>
      <w:pPr>
        <w:pStyle w:val="Body"/>
      </w:pPr>
      <w:r>
        <w:rPr>
          <w:rtl w:val="0"/>
          <w:lang w:val="en-US"/>
        </w:rPr>
        <w:t>**Field-test items will be administered to students for potential use on subsequent tests and will not be used to compute the final test score.</w:t>
      </w:r>
    </w:p>
    <w:p>
      <w:pPr>
        <w:pStyle w:val="Body"/>
      </w:pPr>
      <w:r>
        <w:rPr>
          <w:rtl w:val="0"/>
        </w:rPr>
        <w:t>***</w:t>
      </w:r>
      <w:r>
        <w:rPr>
          <w:outline w:val="0"/>
          <w:color w:val="000000"/>
          <w:u w:color="000000"/>
          <w:shd w:val="clear" w:color="auto" w:fill="ffffff"/>
          <w:rtl w:val="0"/>
          <w:lang w:val="en-US"/>
          <w14:textFill>
            <w14:solidFill>
              <w14:srgbClr w14:val="000000"/>
            </w14:solidFill>
          </w14:textFill>
        </w:rPr>
        <w:t xml:space="preserve"> Legislation passed in the 2021 Virginia General Assembly (</w:t>
      </w:r>
      <w:r>
        <w:rPr>
          <w:rStyle w:val="Hyperlink.1"/>
        </w:rPr>
        <w:fldChar w:fldCharType="begin" w:fldLock="0"/>
      </w:r>
      <w:r>
        <w:rPr>
          <w:rStyle w:val="Hyperlink.1"/>
        </w:rPr>
        <w:instrText xml:space="preserve"> HYPERLINK "https://lis.virginia.gov/cgi-bin/legp604.exe?ses=212&amp;typ=bil&amp;val=HB2027"</w:instrText>
      </w:r>
      <w:r>
        <w:rPr>
          <w:rStyle w:val="Hyperlink.1"/>
        </w:rPr>
        <w:fldChar w:fldCharType="separate" w:fldLock="0"/>
      </w:r>
      <w:r>
        <w:rPr>
          <w:rStyle w:val="Hyperlink.1"/>
          <w:rtl w:val="0"/>
        </w:rPr>
        <w:t>HB2027</w:t>
      </w:r>
      <w:r>
        <w:rPr/>
        <w:fldChar w:fldCharType="end" w:fldLock="0"/>
      </w:r>
      <w:r>
        <w:rPr>
          <w:rtl w:val="0"/>
        </w:rPr>
        <w:t xml:space="preserve"> </w:t>
      </w:r>
      <w:r>
        <w:rPr>
          <w:outline w:val="0"/>
          <w:color w:val="000000"/>
          <w:u w:color="000000"/>
          <w:shd w:val="clear" w:color="auto" w:fill="ffffff"/>
          <w:rtl w:val="0"/>
          <w14:textFill>
            <w14:solidFill>
              <w14:srgbClr w14:val="000000"/>
            </w14:solidFill>
          </w14:textFill>
        </w:rPr>
        <w:t>and</w:t>
      </w:r>
      <w:r>
        <w:rPr>
          <w:outline w:val="0"/>
          <w:color w:val="000000"/>
          <w:u w:color="000000"/>
          <w:shd w:val="clear" w:color="auto" w:fill="ffffff"/>
          <w:rtl w:val="0"/>
          <w14:textFill>
            <w14:solidFill>
              <w14:srgbClr w14:val="000000"/>
            </w14:solidFill>
          </w14:textFill>
        </w:rPr>
        <w:t> </w:t>
      </w:r>
      <w:r>
        <w:rPr>
          <w:rStyle w:val="Hyperlink.1"/>
        </w:rPr>
        <w:fldChar w:fldCharType="begin" w:fldLock="0"/>
      </w:r>
      <w:r>
        <w:rPr>
          <w:rStyle w:val="Hyperlink.1"/>
        </w:rPr>
        <w:instrText xml:space="preserve"> HYPERLINK "https://lis.virginia.gov/cgi-bin/legp604.exe?ses=212&amp;typ=bil&amp;val=SB1357"</w:instrText>
      </w:r>
      <w:r>
        <w:rPr>
          <w:rStyle w:val="Hyperlink.1"/>
        </w:rPr>
        <w:fldChar w:fldCharType="separate" w:fldLock="0"/>
      </w:r>
      <w:r>
        <w:rPr>
          <w:rStyle w:val="Hyperlink.1"/>
          <w:rtl w:val="0"/>
        </w:rPr>
        <w:t>SB1357</w:t>
      </w:r>
      <w:r>
        <w:rPr/>
        <w:fldChar w:fldCharType="end" w:fldLock="0"/>
      </w:r>
      <w:r>
        <w:rPr>
          <w:outline w:val="0"/>
          <w:color w:val="000000"/>
          <w:u w:color="000000"/>
          <w:shd w:val="clear" w:color="auto" w:fill="ffffff"/>
          <w:rtl w:val="0"/>
          <w:lang w:val="en-US"/>
          <w14:textFill>
            <w14:solidFill>
              <w14:srgbClr w14:val="000000"/>
            </w14:solidFill>
          </w14:textFill>
        </w:rPr>
        <w:t>) requires these assessments have the ability to contain additional test items at, below, and above a student</w:t>
      </w:r>
      <w:r>
        <w:rPr>
          <w:outline w:val="0"/>
          <w:color w:val="000000"/>
          <w:u w:color="000000"/>
          <w:shd w:val="clear" w:color="auto" w:fill="ffffff"/>
          <w:rtl w:val="1"/>
          <w14:textFill>
            <w14:solidFill>
              <w14:srgbClr w14:val="000000"/>
            </w14:solidFill>
          </w14:textFill>
        </w:rPr>
        <w:t>’</w:t>
      </w:r>
      <w:r>
        <w:rPr>
          <w:outline w:val="0"/>
          <w:color w:val="000000"/>
          <w:u w:color="000000"/>
          <w:shd w:val="clear" w:color="auto" w:fill="ffffff"/>
          <w:rtl w:val="0"/>
          <w:lang w:val="en-US"/>
          <w14:textFill>
            <w14:solidFill>
              <w14:srgbClr w14:val="000000"/>
            </w14:solidFill>
          </w14:textFill>
        </w:rPr>
        <w:t>s grade level as appropriate for the student. All test items will be delivered online via the computer adaptive algorithm. Students who meet the criteria for a paper test will receive only on-grade-level items.</w:t>
      </w:r>
      <w:r>
        <w:rPr>
          <w:rFonts w:ascii="Arial Unicode MS" w:cs="Arial Unicode MS" w:hAnsi="Arial Unicode MS" w:eastAsia="Arial Unicode MS"/>
          <w:b w:val="0"/>
          <w:bCs w:val="0"/>
          <w:i w:val="0"/>
          <w:iCs w:val="0"/>
          <w:sz w:val="24"/>
          <w:szCs w:val="24"/>
        </w:rPr>
        <w:br w:type="page"/>
      </w:r>
    </w:p>
    <w:p>
      <w:pPr>
        <w:pStyle w:val="Heading 2"/>
      </w:pPr>
      <w:r>
        <w:rPr>
          <w:rtl w:val="0"/>
          <w:lang w:val="en-US"/>
        </w:rPr>
        <w:t>Grade 4 Mathematics</w:t>
      </w:r>
      <w:r>
        <w:br w:type="textWrapping"/>
      </w:r>
      <w:r>
        <w:rPr>
          <w:rtl w:val="0"/>
          <w:lang w:val="en-US"/>
        </w:rPr>
        <w:t>Expanded Test Blueprint</w:t>
      </w:r>
    </w:p>
    <w:p>
      <w:pPr>
        <w:pStyle w:val="Body"/>
        <w:rPr>
          <w:b w:val="1"/>
          <w:bCs w:val="1"/>
          <w:sz w:val="24"/>
          <w:szCs w:val="24"/>
        </w:rPr>
      </w:pPr>
    </w:p>
    <w:p>
      <w:pPr>
        <w:pStyle w:val="Heading 3"/>
      </w:pPr>
      <w:r>
        <w:rPr>
          <w:rtl w:val="0"/>
          <w:lang w:val="en-US"/>
        </w:rPr>
        <w:t>Reporting Category: Number and Number Sense</w:t>
      </w:r>
    </w:p>
    <w:p>
      <w:pPr>
        <w:pStyle w:val="Body"/>
        <w:rPr>
          <w:b w:val="1"/>
          <w:bCs w:val="1"/>
          <w:sz w:val="24"/>
          <w:szCs w:val="24"/>
        </w:rPr>
      </w:pPr>
      <w:r>
        <w:rPr>
          <w:b w:val="1"/>
          <w:bCs w:val="1"/>
          <w:sz w:val="24"/>
          <w:szCs w:val="24"/>
          <w:rtl w:val="0"/>
          <w:lang w:val="de-DE"/>
        </w:rPr>
        <w:t>Number of Items: 9 (CAT)   12 (Traditional)</w:t>
      </w:r>
    </w:p>
    <w:p>
      <w:pPr>
        <w:pStyle w:val="Body"/>
        <w:rPr>
          <w:b w:val="1"/>
          <w:bCs w:val="1"/>
          <w:sz w:val="24"/>
          <w:szCs w:val="24"/>
        </w:rPr>
      </w:pPr>
      <w:r>
        <w:rPr>
          <w:b w:val="1"/>
          <w:bCs w:val="1"/>
          <w:sz w:val="24"/>
          <w:szCs w:val="24"/>
          <w:rtl w:val="0"/>
          <w:lang w:val="en-US"/>
        </w:rPr>
        <w:t>Standards of Learning:</w:t>
      </w:r>
    </w:p>
    <w:p>
      <w:pPr>
        <w:pStyle w:val="Body"/>
        <w:tabs>
          <w:tab w:val="left" w:pos="720"/>
        </w:tabs>
        <w:rPr>
          <w:b w:val="1"/>
          <w:bCs w:val="1"/>
          <w:sz w:val="24"/>
          <w:szCs w:val="24"/>
        </w:rPr>
      </w:pPr>
    </w:p>
    <w:p>
      <w:pPr>
        <w:pStyle w:val="Body"/>
        <w:ind w:left="1080" w:hanging="1080"/>
        <w:rPr>
          <w:sz w:val="24"/>
          <w:szCs w:val="24"/>
        </w:rPr>
      </w:pPr>
      <w:r>
        <w:rPr>
          <w:sz w:val="24"/>
          <w:szCs w:val="24"/>
          <w:rtl w:val="0"/>
          <w:lang w:val="en-US"/>
        </w:rPr>
        <w:t>4.1</w:t>
        <w:tab/>
        <w:t>The student will</w:t>
      </w:r>
    </w:p>
    <w:p>
      <w:pPr>
        <w:pStyle w:val="List Paragraph"/>
        <w:numPr>
          <w:ilvl w:val="0"/>
          <w:numId w:val="2"/>
        </w:numPr>
        <w:bidi w:val="0"/>
        <w:ind w:right="0"/>
        <w:jc w:val="left"/>
        <w:rPr>
          <w:rtl w:val="0"/>
          <w:lang w:val="en-US"/>
        </w:rPr>
      </w:pPr>
      <w:r>
        <w:rPr>
          <w:outline w:val="0"/>
          <w:color w:val="000000"/>
          <w:u w:color="000000"/>
          <w:rtl w:val="0"/>
          <w:lang w:val="en-US"/>
          <w14:textFill>
            <w14:solidFill>
              <w14:srgbClr w14:val="000000"/>
            </w14:solidFill>
          </w14:textFill>
        </w:rPr>
        <w:t>read, write, and identify the place and value of each digit in a nine-digit whole number;</w:t>
      </w:r>
    </w:p>
    <w:p>
      <w:pPr>
        <w:pStyle w:val="List Paragraph"/>
        <w:numPr>
          <w:ilvl w:val="0"/>
          <w:numId w:val="2"/>
        </w:numPr>
        <w:bidi w:val="0"/>
        <w:ind w:right="0"/>
        <w:jc w:val="left"/>
        <w:rPr>
          <w:rtl w:val="0"/>
          <w:lang w:val="en-US"/>
        </w:rPr>
      </w:pPr>
      <w:r>
        <w:rPr>
          <w:outline w:val="0"/>
          <w:color w:val="000000"/>
          <w:u w:color="000000"/>
          <w:rtl w:val="0"/>
          <w:lang w:val="en-US"/>
          <w14:textFill>
            <w14:solidFill>
              <w14:srgbClr w14:val="000000"/>
            </w14:solidFill>
          </w14:textFill>
        </w:rPr>
        <w:t xml:space="preserve">compare and order whole numbers expressed through millions; and </w:t>
      </w:r>
    </w:p>
    <w:p>
      <w:pPr>
        <w:pStyle w:val="List Paragraph"/>
        <w:numPr>
          <w:ilvl w:val="0"/>
          <w:numId w:val="2"/>
        </w:numPr>
        <w:bidi w:val="0"/>
        <w:ind w:right="0"/>
        <w:jc w:val="left"/>
        <w:rPr>
          <w:rtl w:val="0"/>
          <w:lang w:val="en-US"/>
        </w:rPr>
      </w:pPr>
      <w:r>
        <w:rPr>
          <w:outline w:val="0"/>
          <w:color w:val="000000"/>
          <w:u w:color="000000"/>
          <w:rtl w:val="0"/>
          <w:lang w:val="en-US"/>
          <w14:textFill>
            <w14:solidFill>
              <w14:srgbClr w14:val="000000"/>
            </w14:solidFill>
          </w14:textFill>
        </w:rPr>
        <w:t>round whole numbers expressed through millions to the nearest thousand, ten thousand, and hundred thousand.</w:t>
      </w:r>
    </w:p>
    <w:p>
      <w:pPr>
        <w:pStyle w:val="SOL Number"/>
        <w:ind w:left="0" w:firstLine="0"/>
      </w:pPr>
    </w:p>
    <w:p>
      <w:pPr>
        <w:pStyle w:val="Body"/>
        <w:ind w:left="1080" w:hanging="1080"/>
        <w:rPr>
          <w:sz w:val="24"/>
          <w:szCs w:val="24"/>
        </w:rPr>
      </w:pPr>
      <w:r>
        <w:rPr>
          <w:sz w:val="24"/>
          <w:szCs w:val="24"/>
          <w:rtl w:val="0"/>
          <w:lang w:val="en-US"/>
        </w:rPr>
        <w:t>4.2</w:t>
        <w:tab/>
        <w:t>The student will</w:t>
      </w:r>
    </w:p>
    <w:p>
      <w:pPr>
        <w:pStyle w:val="List Paragraph"/>
        <w:numPr>
          <w:ilvl w:val="0"/>
          <w:numId w:val="4"/>
        </w:numPr>
        <w:bidi w:val="0"/>
        <w:ind w:right="0"/>
        <w:jc w:val="left"/>
        <w:rPr>
          <w:rtl w:val="0"/>
          <w:lang w:val="en-US"/>
        </w:rPr>
      </w:pPr>
      <w:r>
        <w:rPr>
          <w:outline w:val="0"/>
          <w:color w:val="000000"/>
          <w:u w:color="000000"/>
          <w:rtl w:val="0"/>
          <w:lang w:val="en-US"/>
          <w14:textFill>
            <w14:solidFill>
              <w14:srgbClr w14:val="000000"/>
            </w14:solidFill>
          </w14:textFill>
        </w:rPr>
        <w:t>compare and order fractions and mixed numbers, with and without models;</w:t>
      </w:r>
    </w:p>
    <w:p>
      <w:pPr>
        <w:pStyle w:val="List Paragraph"/>
        <w:numPr>
          <w:ilvl w:val="0"/>
          <w:numId w:val="4"/>
        </w:numPr>
        <w:bidi w:val="0"/>
        <w:ind w:right="0"/>
        <w:jc w:val="left"/>
        <w:rPr>
          <w:rtl w:val="0"/>
          <w:lang w:val="en-US"/>
        </w:rPr>
      </w:pPr>
      <w:r>
        <w:rPr>
          <w:outline w:val="0"/>
          <w:color w:val="000000"/>
          <w:u w:color="000000"/>
          <w:rtl w:val="0"/>
          <w:lang w:val="en-US"/>
          <w14:textFill>
            <w14:solidFill>
              <w14:srgbClr w14:val="000000"/>
            </w14:solidFill>
          </w14:textFill>
        </w:rPr>
        <w:t>represent equivalent fractions; and</w:t>
      </w:r>
    </w:p>
    <w:p>
      <w:pPr>
        <w:pStyle w:val="List Paragraph"/>
        <w:numPr>
          <w:ilvl w:val="0"/>
          <w:numId w:val="4"/>
        </w:numPr>
        <w:bidi w:val="0"/>
        <w:ind w:right="0"/>
        <w:jc w:val="left"/>
        <w:rPr>
          <w:rtl w:val="0"/>
          <w:lang w:val="en-US"/>
        </w:rPr>
      </w:pPr>
      <w:r>
        <w:rPr>
          <w:outline w:val="0"/>
          <w:color w:val="000000"/>
          <w:u w:color="000000"/>
          <w:rtl w:val="0"/>
          <w:lang w:val="en-US"/>
          <w14:textFill>
            <w14:solidFill>
              <w14:srgbClr w14:val="000000"/>
            </w14:solidFill>
          </w14:textFill>
        </w:rPr>
        <w:t>identify the division statement that represents a fraction, with models and in context.</w:t>
      </w:r>
    </w:p>
    <w:p>
      <w:pPr>
        <w:pStyle w:val="SOL Number"/>
        <w:rPr>
          <w:outline w:val="0"/>
          <w:color w:val="000000"/>
          <w:u w:color="000000"/>
          <w14:textFill>
            <w14:solidFill>
              <w14:srgbClr w14:val="000000"/>
            </w14:solidFill>
          </w14:textFill>
        </w:rPr>
      </w:pPr>
    </w:p>
    <w:p>
      <w:pPr>
        <w:pStyle w:val="Body"/>
        <w:ind w:left="1080" w:hanging="1080"/>
        <w:rPr>
          <w:sz w:val="24"/>
          <w:szCs w:val="24"/>
        </w:rPr>
      </w:pPr>
      <w:r>
        <w:rPr>
          <w:sz w:val="24"/>
          <w:szCs w:val="24"/>
          <w:rtl w:val="0"/>
          <w:lang w:val="en-US"/>
        </w:rPr>
        <w:t>4.3</w:t>
        <w:tab/>
        <w:t>The student will</w:t>
      </w:r>
    </w:p>
    <w:p>
      <w:pPr>
        <w:pStyle w:val="List Paragraph"/>
        <w:numPr>
          <w:ilvl w:val="0"/>
          <w:numId w:val="6"/>
        </w:numPr>
        <w:bidi w:val="0"/>
        <w:ind w:right="0"/>
        <w:jc w:val="left"/>
        <w:rPr>
          <w:rtl w:val="0"/>
          <w:lang w:val="en-US"/>
        </w:rPr>
      </w:pPr>
      <w:r>
        <w:rPr>
          <w:outline w:val="0"/>
          <w:color w:val="000000"/>
          <w:u w:color="000000"/>
          <w:rtl w:val="0"/>
          <w:lang w:val="en-US"/>
          <w14:textFill>
            <w14:solidFill>
              <w14:srgbClr w14:val="000000"/>
            </w14:solidFill>
          </w14:textFill>
        </w:rPr>
        <w:t>read, write, represent, and identify decimals expressed through thousandths;</w:t>
      </w:r>
    </w:p>
    <w:p>
      <w:pPr>
        <w:pStyle w:val="List Paragraph"/>
        <w:numPr>
          <w:ilvl w:val="0"/>
          <w:numId w:val="6"/>
        </w:numPr>
        <w:bidi w:val="0"/>
        <w:ind w:right="0"/>
        <w:jc w:val="left"/>
        <w:rPr>
          <w:rtl w:val="0"/>
          <w:lang w:val="en-US"/>
        </w:rPr>
      </w:pPr>
      <w:r>
        <w:rPr>
          <w:outline w:val="0"/>
          <w:color w:val="000000"/>
          <w:u w:color="000000"/>
          <w:rtl w:val="0"/>
          <w:lang w:val="en-US"/>
          <w14:textFill>
            <w14:solidFill>
              <w14:srgbClr w14:val="000000"/>
            </w14:solidFill>
          </w14:textFill>
        </w:rPr>
        <w:t>round decimals to the nearest whole number;</w:t>
      </w:r>
    </w:p>
    <w:p>
      <w:pPr>
        <w:pStyle w:val="List Paragraph"/>
        <w:numPr>
          <w:ilvl w:val="0"/>
          <w:numId w:val="6"/>
        </w:numPr>
        <w:bidi w:val="0"/>
        <w:ind w:right="0"/>
        <w:jc w:val="left"/>
        <w:rPr>
          <w:rtl w:val="0"/>
          <w:lang w:val="en-US"/>
        </w:rPr>
      </w:pPr>
      <w:r>
        <w:rPr>
          <w:outline w:val="0"/>
          <w:color w:val="000000"/>
          <w:u w:color="000000"/>
          <w:rtl w:val="0"/>
          <w:lang w:val="en-US"/>
          <w14:textFill>
            <w14:solidFill>
              <w14:srgbClr w14:val="000000"/>
            </w14:solidFill>
          </w14:textFill>
        </w:rPr>
        <w:t>compare and order decimals; and</w:t>
      </w:r>
    </w:p>
    <w:p>
      <w:pPr>
        <w:pStyle w:val="List Paragraph"/>
        <w:numPr>
          <w:ilvl w:val="0"/>
          <w:numId w:val="6"/>
        </w:numPr>
        <w:bidi w:val="0"/>
        <w:ind w:right="0"/>
        <w:jc w:val="left"/>
        <w:rPr>
          <w:rtl w:val="0"/>
          <w:lang w:val="en-US"/>
        </w:rPr>
      </w:pPr>
      <w:r>
        <w:rPr>
          <w:outline w:val="0"/>
          <w:color w:val="000000"/>
          <w:u w:color="000000"/>
          <w:rtl w:val="0"/>
          <w:lang w:val="en-US"/>
          <w14:textFill>
            <w14:solidFill>
              <w14:srgbClr w14:val="000000"/>
            </w14:solidFill>
          </w14:textFill>
        </w:rPr>
        <w:t>given a model, write the decimal and fraction equivalents.</w:t>
      </w:r>
    </w:p>
    <w:p>
      <w:pPr>
        <w:pStyle w:val="Body"/>
        <w:rPr>
          <w:rFonts w:ascii="Arial" w:cs="Arial" w:hAnsi="Arial" w:eastAsia="Arial"/>
          <w:b w:val="1"/>
          <w:bCs w:val="1"/>
          <w:sz w:val="24"/>
          <w:szCs w:val="24"/>
        </w:rPr>
      </w:pPr>
    </w:p>
    <w:p>
      <w:pPr>
        <w:pStyle w:val="Heading 3"/>
      </w:pPr>
      <w:r>
        <w:rPr>
          <w:rtl w:val="0"/>
          <w:lang w:val="en-US"/>
        </w:rPr>
        <w:t>Reporting Category: Computation and Estimation</w:t>
      </w:r>
    </w:p>
    <w:p>
      <w:pPr>
        <w:pStyle w:val="Body"/>
        <w:rPr>
          <w:b w:val="1"/>
          <w:bCs w:val="1"/>
          <w:sz w:val="24"/>
          <w:szCs w:val="24"/>
        </w:rPr>
      </w:pPr>
      <w:r>
        <w:rPr>
          <w:b w:val="1"/>
          <w:bCs w:val="1"/>
          <w:sz w:val="24"/>
          <w:szCs w:val="24"/>
          <w:rtl w:val="0"/>
          <w:lang w:val="de-DE"/>
        </w:rPr>
        <w:t>Number of Items: 10 (CAT)   14 (Traditional)</w:t>
      </w:r>
    </w:p>
    <w:p>
      <w:pPr>
        <w:pStyle w:val="Body"/>
        <w:rPr>
          <w:b w:val="1"/>
          <w:bCs w:val="1"/>
          <w:sz w:val="24"/>
          <w:szCs w:val="24"/>
        </w:rPr>
      </w:pPr>
      <w:r>
        <w:rPr>
          <w:b w:val="1"/>
          <w:bCs w:val="1"/>
          <w:sz w:val="24"/>
          <w:szCs w:val="24"/>
          <w:rtl w:val="0"/>
          <w:lang w:val="en-US"/>
        </w:rPr>
        <w:t>Standards of Learning:</w:t>
      </w:r>
    </w:p>
    <w:p>
      <w:pPr>
        <w:pStyle w:val="SOL Number"/>
      </w:pPr>
    </w:p>
    <w:p>
      <w:pPr>
        <w:pStyle w:val="Body"/>
        <w:keepNext w:val="1"/>
        <w:ind w:left="1080" w:hanging="1080"/>
        <w:rPr>
          <w:sz w:val="24"/>
          <w:szCs w:val="24"/>
        </w:rPr>
      </w:pPr>
      <w:r>
        <w:rPr>
          <w:sz w:val="24"/>
          <w:szCs w:val="24"/>
          <w:rtl w:val="0"/>
          <w:lang w:val="en-US"/>
        </w:rPr>
        <w:t>4.4</w:t>
        <w:tab/>
        <w:t>The student will</w:t>
      </w:r>
    </w:p>
    <w:p>
      <w:pPr>
        <w:pStyle w:val="List Paragraph"/>
        <w:keepNext w:val="1"/>
        <w:numPr>
          <w:ilvl w:val="0"/>
          <w:numId w:val="8"/>
        </w:numPr>
        <w:bidi w:val="0"/>
        <w:ind w:right="0"/>
        <w:jc w:val="left"/>
        <w:rPr>
          <w:color w:val="000000"/>
          <w:sz w:val="23"/>
          <w:rtl w:val="0"/>
          <w:lang w:val="en-US"/>
        </w:rPr>
      </w:pPr>
      <w:r>
        <w:rPr>
          <w:outline w:val="0"/>
          <w:color w:val="000000"/>
          <w:u w:color="000000"/>
          <w:rtl w:val="0"/>
          <w:lang w:val="en-US"/>
          <w14:textFill>
            <w14:solidFill>
              <w14:srgbClr w14:val="000000"/>
            </w14:solidFill>
          </w14:textFill>
        </w:rPr>
        <w:t xml:space="preserve">demonstrate fluency with multiplication facts through </w:t>
      </w:r>
      <m:oMath>
        <m:r>
          <w:rPr xmlns:w="http://schemas.openxmlformats.org/wordprocessingml/2006/main">
            <w:rFonts w:ascii="Cambria Math" w:hAnsi="Cambria Math"/>
            <w:i/>
            <w:color w:val="000000"/>
            <w:sz w:val="28"/>
            <w:szCs w:val="28"/>
          </w:rPr>
          <m:t>12</m:t>
        </m:r>
        <m:r>
          <w:rPr xmlns:w="http://schemas.openxmlformats.org/wordprocessingml/2006/main">
            <w:rFonts w:ascii="Cambria Math" w:hAnsi="Cambria Math"/>
            <w:i/>
            <w:color w:val="000000"/>
            <w:sz w:val="28"/>
            <w:szCs w:val="28"/>
          </w:rPr>
          <m:t>×</m:t>
        </m:r>
        <m:r>
          <w:rPr xmlns:w="http://schemas.openxmlformats.org/wordprocessingml/2006/main">
            <w:rFonts w:ascii="Cambria Math" w:hAnsi="Cambria Math"/>
            <w:i/>
            <w:color w:val="000000"/>
            <w:sz w:val="28"/>
            <w:szCs w:val="28"/>
          </w:rPr>
          <m:t>12</m:t>
        </m:r>
      </m:oMath>
      <w:r>
        <w:rPr>
          <w:outline w:val="0"/>
          <w:color w:val="000000"/>
          <w:u w:color="000000"/>
          <w:rtl w:val="0"/>
          <w:lang w:val="en-US"/>
          <w14:textFill>
            <w14:solidFill>
              <w14:srgbClr w14:val="000000"/>
            </w14:solidFill>
          </w14:textFill>
        </w:rPr>
        <w:t xml:space="preserve">, and the corresponding division facts; </w:t>
      </w:r>
    </w:p>
    <w:p>
      <w:pPr>
        <w:pStyle w:val="List Paragraph"/>
        <w:keepNext w:val="1"/>
        <w:numPr>
          <w:ilvl w:val="0"/>
          <w:numId w:val="8"/>
        </w:numPr>
        <w:bidi w:val="0"/>
        <w:ind w:right="0"/>
        <w:jc w:val="left"/>
        <w:rPr>
          <w:rtl w:val="0"/>
          <w:lang w:val="en-US"/>
        </w:rPr>
      </w:pPr>
      <w:r>
        <w:rPr>
          <w:outline w:val="0"/>
          <w:color w:val="000000"/>
          <w:u w:color="000000"/>
          <w:rtl w:val="0"/>
          <w:lang w:val="en-US"/>
          <w14:textFill>
            <w14:solidFill>
              <w14:srgbClr w14:val="000000"/>
            </w14:solidFill>
          </w14:textFill>
        </w:rPr>
        <w:t>estimate and determine sums, differences, and products of whole numbers;</w:t>
      </w:r>
    </w:p>
    <w:p>
      <w:pPr>
        <w:pStyle w:val="List Paragraph"/>
        <w:keepNext w:val="1"/>
        <w:numPr>
          <w:ilvl w:val="0"/>
          <w:numId w:val="8"/>
        </w:numPr>
        <w:bidi w:val="0"/>
        <w:ind w:right="0"/>
        <w:jc w:val="left"/>
        <w:rPr>
          <w:rtl w:val="0"/>
          <w:lang w:val="en-US"/>
        </w:rPr>
      </w:pPr>
      <w:r>
        <w:rPr>
          <w:outline w:val="0"/>
          <w:color w:val="000000"/>
          <w:u w:color="000000"/>
          <w:rtl w:val="0"/>
          <w:lang w:val="en-US"/>
          <w14:textFill>
            <w14:solidFill>
              <w14:srgbClr w14:val="000000"/>
            </w14:solidFill>
          </w14:textFill>
        </w:rPr>
        <w:t>estimate and determine quotients of whole numbers, with and without remainders; and</w:t>
      </w:r>
    </w:p>
    <w:p>
      <w:pPr>
        <w:pStyle w:val="List Paragraph"/>
        <w:numPr>
          <w:ilvl w:val="0"/>
          <w:numId w:val="8"/>
        </w:numPr>
        <w:bidi w:val="0"/>
        <w:ind w:right="0"/>
        <w:jc w:val="left"/>
        <w:rPr>
          <w:rtl w:val="0"/>
          <w:lang w:val="en-US"/>
        </w:rPr>
      </w:pPr>
      <w:r>
        <w:rPr>
          <w:outline w:val="0"/>
          <w:color w:val="000000"/>
          <w:u w:color="000000"/>
          <w:rtl w:val="0"/>
          <w:lang w:val="en-US"/>
          <w14:textFill>
            <w14:solidFill>
              <w14:srgbClr w14:val="000000"/>
            </w14:solidFill>
          </w14:textFill>
        </w:rPr>
        <w:t>create and solve single-step and multistep practical problems involving addition, subtraction, and multiplication, and single-step practical problems involving division with whole numbers.</w:t>
      </w:r>
    </w:p>
    <w:p>
      <w:pPr>
        <w:pStyle w:val="Body"/>
        <w:rPr>
          <w:sz w:val="24"/>
          <w:szCs w:val="24"/>
        </w:rPr>
      </w:pPr>
    </w:p>
    <w:p>
      <w:pPr>
        <w:pStyle w:val="Body"/>
        <w:ind w:left="1080" w:hanging="1080"/>
        <w:rPr>
          <w:sz w:val="24"/>
          <w:szCs w:val="24"/>
        </w:rPr>
      </w:pPr>
      <w:r>
        <w:rPr>
          <w:sz w:val="24"/>
          <w:szCs w:val="24"/>
          <w:rtl w:val="0"/>
          <w:lang w:val="en-US"/>
        </w:rPr>
        <w:t>4.5</w:t>
        <w:tab/>
        <w:t>The student will</w:t>
      </w:r>
    </w:p>
    <w:p>
      <w:pPr>
        <w:pStyle w:val="List Paragraph"/>
        <w:numPr>
          <w:ilvl w:val="0"/>
          <w:numId w:val="10"/>
        </w:numPr>
        <w:bidi w:val="0"/>
        <w:ind w:right="0"/>
        <w:jc w:val="left"/>
        <w:rPr>
          <w:rtl w:val="0"/>
          <w:lang w:val="en-US"/>
        </w:rPr>
      </w:pPr>
      <w:r>
        <w:rPr>
          <w:outline w:val="0"/>
          <w:color w:val="000000"/>
          <w:u w:color="000000"/>
          <w:rtl w:val="0"/>
          <w:lang w:val="en-US"/>
          <w14:textFill>
            <w14:solidFill>
              <w14:srgbClr w14:val="000000"/>
            </w14:solidFill>
          </w14:textFill>
        </w:rPr>
        <w:t>determine common</w:t>
      </w:r>
      <w:r>
        <w:rPr>
          <w:outline w:val="0"/>
          <w:color w:val="000000"/>
          <w:u w:color="000000"/>
          <w:rtl w:val="0"/>
          <w:lang w:val="en-US"/>
          <w14:textFill>
            <w14:solidFill>
              <w14:srgbClr w14:val="000000"/>
            </w14:solidFill>
          </w14:textFill>
        </w:rPr>
        <w:t> </w:t>
      </w:r>
      <w:r>
        <w:rPr>
          <w:outline w:val="0"/>
          <w:color w:val="000000"/>
          <w:u w:color="000000"/>
          <w:rtl w:val="0"/>
          <w:lang w:val="en-US"/>
          <w14:textFill>
            <w14:solidFill>
              <w14:srgbClr w14:val="000000"/>
            </w14:solidFill>
          </w14:textFill>
        </w:rPr>
        <w:t>multiples and factors,</w:t>
      </w:r>
      <w:r>
        <w:rPr>
          <w:outline w:val="0"/>
          <w:color w:val="000000"/>
          <w:u w:color="000000"/>
          <w:rtl w:val="0"/>
          <w:lang w:val="en-US"/>
          <w14:textFill>
            <w14:solidFill>
              <w14:srgbClr w14:val="000000"/>
            </w14:solidFill>
          </w14:textFill>
        </w:rPr>
        <w:t> </w:t>
      </w:r>
      <w:r>
        <w:rPr>
          <w:outline w:val="0"/>
          <w:color w:val="000000"/>
          <w:u w:color="000000"/>
          <w:rtl w:val="0"/>
          <w:lang w:val="en-US"/>
          <w14:textFill>
            <w14:solidFill>
              <w14:srgbClr w14:val="000000"/>
            </w14:solidFill>
          </w14:textFill>
        </w:rPr>
        <w:t>including least common multiple and greatest common factor;</w:t>
      </w:r>
    </w:p>
    <w:p>
      <w:pPr>
        <w:pStyle w:val="List Paragraph"/>
        <w:numPr>
          <w:ilvl w:val="0"/>
          <w:numId w:val="10"/>
        </w:numPr>
        <w:bidi w:val="0"/>
        <w:ind w:right="0"/>
        <w:jc w:val="left"/>
        <w:rPr>
          <w:rtl w:val="0"/>
          <w:lang w:val="en-US"/>
        </w:rPr>
      </w:pPr>
      <w:r>
        <w:rPr>
          <w:outline w:val="0"/>
          <w:color w:val="000000"/>
          <w:u w:color="000000"/>
          <w:rtl w:val="0"/>
          <w:lang w:val="en-US"/>
          <w14:textFill>
            <w14:solidFill>
              <w14:srgbClr w14:val="000000"/>
            </w14:solidFill>
          </w14:textFill>
        </w:rPr>
        <w:t>add and subtract fractions and mixed numbers having like and unlike denominators; and</w:t>
      </w:r>
    </w:p>
    <w:p>
      <w:pPr>
        <w:pStyle w:val="List Paragraph"/>
        <w:numPr>
          <w:ilvl w:val="0"/>
          <w:numId w:val="10"/>
        </w:numPr>
        <w:bidi w:val="0"/>
        <w:ind w:right="0"/>
        <w:jc w:val="left"/>
        <w:rPr>
          <w:rtl w:val="0"/>
          <w:lang w:val="en-US"/>
        </w:rPr>
      </w:pPr>
      <w:r>
        <w:rPr>
          <w:outline w:val="0"/>
          <w:color w:val="000000"/>
          <w:u w:color="000000"/>
          <w:rtl w:val="0"/>
          <w:lang w:val="en-US"/>
          <w14:textFill>
            <w14:solidFill>
              <w14:srgbClr w14:val="000000"/>
            </w14:solidFill>
          </w14:textFill>
        </w:rPr>
        <w:t xml:space="preserve">solve single-step practical problems involving addition and subtraction with fractions and mixed numbers. </w:t>
      </w:r>
    </w:p>
    <w:p>
      <w:pPr>
        <w:pStyle w:val="SOL Number"/>
        <w:ind w:left="1080" w:hanging="1080"/>
      </w:pPr>
    </w:p>
    <w:p>
      <w:pPr>
        <w:pStyle w:val="SOL Number"/>
        <w:ind w:left="1080" w:hanging="1080"/>
      </w:pPr>
      <w:r>
        <w:rPr>
          <w:rtl w:val="0"/>
          <w:lang w:val="en-US"/>
        </w:rPr>
        <w:t>4.6</w:t>
        <w:tab/>
        <w:t>The student will</w:t>
      </w:r>
    </w:p>
    <w:p>
      <w:pPr>
        <w:pStyle w:val="SOL Bullet"/>
        <w:numPr>
          <w:ilvl w:val="0"/>
          <w:numId w:val="12"/>
        </w:numPr>
        <w:rPr>
          <w:lang w:val="en-US"/>
        </w:rPr>
      </w:pPr>
      <w:r>
        <w:rPr>
          <w:rtl w:val="0"/>
          <w:lang w:val="en-US"/>
        </w:rPr>
        <w:t xml:space="preserve">add and subtract decimals; and </w:t>
      </w:r>
    </w:p>
    <w:p>
      <w:pPr>
        <w:pStyle w:val="SOL Bullet"/>
        <w:numPr>
          <w:ilvl w:val="0"/>
          <w:numId w:val="13"/>
        </w:numPr>
        <w:rPr>
          <w:lang w:val="en-US"/>
        </w:rPr>
      </w:pPr>
      <w:r>
        <w:rPr>
          <w:rtl w:val="0"/>
          <w:lang w:val="en-US"/>
        </w:rPr>
        <w:t>solve single-step and multistep practical problems involving addition and subtraction with decimals.</w:t>
      </w:r>
    </w:p>
    <w:p>
      <w:pPr>
        <w:pStyle w:val="SOL Bullet"/>
        <w:ind w:left="1260" w:hanging="360"/>
      </w:pPr>
    </w:p>
    <w:p>
      <w:pPr>
        <w:pStyle w:val="Heading 3"/>
      </w:pPr>
      <w:r>
        <w:rPr>
          <w:rtl w:val="0"/>
          <w:lang w:val="en-US"/>
        </w:rPr>
        <w:t>Reporting Category: Measurement and Geometry</w:t>
      </w:r>
    </w:p>
    <w:p>
      <w:pPr>
        <w:pStyle w:val="Body"/>
        <w:rPr>
          <w:b w:val="1"/>
          <w:bCs w:val="1"/>
          <w:sz w:val="24"/>
          <w:szCs w:val="24"/>
        </w:rPr>
      </w:pPr>
      <w:r>
        <w:rPr>
          <w:b w:val="1"/>
          <w:bCs w:val="1"/>
          <w:sz w:val="24"/>
          <w:szCs w:val="24"/>
          <w:rtl w:val="0"/>
          <w:lang w:val="de-DE"/>
        </w:rPr>
        <w:t>Number of Items: 8 (CAT)   12 (Traditional)</w:t>
      </w:r>
    </w:p>
    <w:p>
      <w:pPr>
        <w:pStyle w:val="Body"/>
        <w:rPr>
          <w:b w:val="1"/>
          <w:bCs w:val="1"/>
          <w:sz w:val="24"/>
          <w:szCs w:val="24"/>
        </w:rPr>
      </w:pPr>
      <w:r>
        <w:rPr>
          <w:b w:val="1"/>
          <w:bCs w:val="1"/>
          <w:sz w:val="24"/>
          <w:szCs w:val="24"/>
          <w:rtl w:val="0"/>
          <w:lang w:val="en-US"/>
        </w:rPr>
        <w:t>Standards of Learning:</w:t>
      </w:r>
    </w:p>
    <w:p>
      <w:pPr>
        <w:pStyle w:val="SOL Number"/>
        <w:keepNext w:val="1"/>
      </w:pPr>
    </w:p>
    <w:p>
      <w:pPr>
        <w:pStyle w:val="SOL Number"/>
        <w:ind w:left="1080" w:hanging="1080"/>
      </w:pPr>
      <w:r>
        <w:rPr>
          <w:rtl w:val="0"/>
          <w:lang w:val="en-US"/>
        </w:rPr>
        <w:t>4.7</w:t>
        <w:tab/>
        <w:t>The student will solve practical problems that involve determining perimeter and area in U.S. Customary and metric units.</w:t>
      </w:r>
    </w:p>
    <w:p>
      <w:pPr>
        <w:pStyle w:val="Body"/>
        <w:ind w:left="1080" w:hanging="1080"/>
        <w:rPr>
          <w:sz w:val="24"/>
          <w:szCs w:val="24"/>
        </w:rPr>
      </w:pPr>
    </w:p>
    <w:p>
      <w:pPr>
        <w:pStyle w:val="Body"/>
        <w:ind w:left="1080" w:hanging="1080"/>
        <w:rPr>
          <w:sz w:val="24"/>
          <w:szCs w:val="24"/>
        </w:rPr>
      </w:pPr>
      <w:r>
        <w:rPr>
          <w:sz w:val="24"/>
          <w:szCs w:val="24"/>
          <w:rtl w:val="0"/>
          <w:lang w:val="en-US"/>
        </w:rPr>
        <w:t xml:space="preserve">4.8 </w:t>
        <w:tab/>
        <w:t xml:space="preserve">The student will </w:t>
      </w:r>
    </w:p>
    <w:p>
      <w:pPr>
        <w:pStyle w:val="List Paragraph"/>
        <w:numPr>
          <w:ilvl w:val="0"/>
          <w:numId w:val="15"/>
        </w:numPr>
        <w:rPr>
          <w:lang w:val="en-US"/>
        </w:rPr>
      </w:pPr>
      <w:r>
        <w:rPr>
          <w:rtl w:val="0"/>
          <w:lang w:val="en-US"/>
        </w:rPr>
        <w:t>estimate and measure length and describe the result in U.S. Customary and metric units;</w:t>
      </w:r>
    </w:p>
    <w:p>
      <w:pPr>
        <w:pStyle w:val="List Paragraph"/>
        <w:numPr>
          <w:ilvl w:val="0"/>
          <w:numId w:val="15"/>
        </w:numPr>
        <w:rPr>
          <w:lang w:val="en-US"/>
        </w:rPr>
      </w:pPr>
      <w:r>
        <w:rPr>
          <w:rtl w:val="0"/>
          <w:lang w:val="en-US"/>
        </w:rPr>
        <w:t xml:space="preserve">estimate and measure weight/mass and describe the result in U.S. Customary and metric units; </w:t>
      </w:r>
    </w:p>
    <w:p>
      <w:pPr>
        <w:pStyle w:val="List Paragraph"/>
        <w:numPr>
          <w:ilvl w:val="0"/>
          <w:numId w:val="15"/>
        </w:numPr>
        <w:rPr>
          <w:lang w:val="en-US"/>
        </w:rPr>
      </w:pPr>
      <w:r>
        <w:rPr>
          <w:rtl w:val="0"/>
          <w:lang w:val="en-US"/>
        </w:rPr>
        <w:t>given the equivalent measure of one unit, identify equivalent measures of length, weight/mass, and liquid volume between units within the U.S. Customary system; and</w:t>
      </w:r>
    </w:p>
    <w:p>
      <w:pPr>
        <w:pStyle w:val="List Paragraph"/>
        <w:numPr>
          <w:ilvl w:val="0"/>
          <w:numId w:val="15"/>
        </w:numPr>
        <w:rPr>
          <w:lang w:val="en-US"/>
        </w:rPr>
      </w:pPr>
      <w:r>
        <w:rPr>
          <w:rtl w:val="0"/>
          <w:lang w:val="en-US"/>
        </w:rPr>
        <w:t xml:space="preserve">solve practical problems that involve length, weight/mass, and liquid volume in U.S. Customary units. </w:t>
      </w:r>
    </w:p>
    <w:p>
      <w:pPr>
        <w:pStyle w:val="Body"/>
        <w:ind w:left="1080" w:hanging="1080"/>
        <w:rPr>
          <w:sz w:val="24"/>
          <w:szCs w:val="24"/>
        </w:rPr>
      </w:pPr>
    </w:p>
    <w:p>
      <w:pPr>
        <w:pStyle w:val="SOL Number"/>
        <w:ind w:left="1080" w:hanging="1080"/>
      </w:pPr>
      <w:r>
        <w:rPr>
          <w:outline w:val="0"/>
          <w:color w:val="000000"/>
          <w:u w:color="000000"/>
          <w:rtl w:val="0"/>
          <w14:textFill>
            <w14:solidFill>
              <w14:srgbClr w14:val="000000"/>
            </w14:solidFill>
          </w14:textFill>
        </w:rPr>
        <w:t>4.9</w:t>
        <w:tab/>
      </w:r>
      <w:r>
        <w:rPr>
          <w:rtl w:val="0"/>
          <w:lang w:val="en-US"/>
        </w:rPr>
        <w:t>The student will solve practical problems related to elapsed time in hours and minutes within a 12-hour period.</w:t>
      </w:r>
    </w:p>
    <w:p>
      <w:pPr>
        <w:pStyle w:val="SOL Number"/>
        <w:rPr>
          <w:outline w:val="0"/>
          <w:color w:val="000000"/>
          <w:u w:color="000000"/>
          <w14:textFill>
            <w14:solidFill>
              <w14:srgbClr w14:val="000000"/>
            </w14:solidFill>
          </w14:textFill>
        </w:rPr>
      </w:pPr>
    </w:p>
    <w:p>
      <w:pPr>
        <w:pStyle w:val="Body"/>
        <w:ind w:left="1080" w:hanging="1080"/>
        <w:rPr>
          <w:sz w:val="24"/>
          <w:szCs w:val="24"/>
        </w:rPr>
      </w:pPr>
      <w:r>
        <w:rPr>
          <w:sz w:val="24"/>
          <w:szCs w:val="24"/>
          <w:rtl w:val="0"/>
          <w:lang w:val="en-US"/>
        </w:rPr>
        <w:t>4.10</w:t>
        <w:tab/>
        <w:t>The student will</w:t>
      </w:r>
    </w:p>
    <w:p>
      <w:pPr>
        <w:pStyle w:val="List Paragraph"/>
        <w:numPr>
          <w:ilvl w:val="0"/>
          <w:numId w:val="17"/>
        </w:numPr>
        <w:bidi w:val="0"/>
        <w:ind w:right="0"/>
        <w:jc w:val="left"/>
        <w:rPr>
          <w:rtl w:val="0"/>
          <w:lang w:val="en-US"/>
        </w:rPr>
      </w:pPr>
      <w:r>
        <w:rPr>
          <w:outline w:val="0"/>
          <w:color w:val="000000"/>
          <w:u w:color="000000"/>
          <w:rtl w:val="0"/>
          <w:lang w:val="en-US"/>
          <w14:textFill>
            <w14:solidFill>
              <w14:srgbClr w14:val="000000"/>
            </w14:solidFill>
          </w14:textFill>
        </w:rPr>
        <w:t>identify and describe points, lines, line segments, rays, and angles, including endpoints and vertices; and</w:t>
      </w:r>
    </w:p>
    <w:p>
      <w:pPr>
        <w:pStyle w:val="List Paragraph"/>
        <w:numPr>
          <w:ilvl w:val="0"/>
          <w:numId w:val="17"/>
        </w:numPr>
        <w:bidi w:val="0"/>
        <w:ind w:right="0"/>
        <w:jc w:val="left"/>
        <w:rPr>
          <w:rtl w:val="0"/>
          <w:lang w:val="en-US"/>
        </w:rPr>
      </w:pPr>
      <w:r>
        <w:rPr>
          <w:outline w:val="0"/>
          <w:color w:val="000000"/>
          <w:u w:color="000000"/>
          <w:rtl w:val="0"/>
          <w:lang w:val="en-US"/>
          <w14:textFill>
            <w14:solidFill>
              <w14:srgbClr w14:val="000000"/>
            </w14:solidFill>
          </w14:textFill>
        </w:rPr>
        <w:t>identify and describe intersecting, parallel, and perpendicular lines.</w:t>
        <w:tab/>
      </w:r>
    </w:p>
    <w:p>
      <w:pPr>
        <w:pStyle w:val="Body"/>
        <w:keepNext w:val="1"/>
        <w:ind w:left="1080" w:hanging="1080"/>
        <w:rPr>
          <w:sz w:val="24"/>
          <w:szCs w:val="24"/>
        </w:rPr>
      </w:pPr>
    </w:p>
    <w:p>
      <w:pPr>
        <w:pStyle w:val="Body"/>
        <w:keepNext w:val="1"/>
        <w:ind w:left="1080" w:hanging="1080"/>
        <w:rPr>
          <w:sz w:val="24"/>
          <w:szCs w:val="24"/>
        </w:rPr>
      </w:pPr>
      <w:r>
        <w:rPr>
          <w:sz w:val="24"/>
          <w:szCs w:val="24"/>
          <w:rtl w:val="0"/>
          <w:lang w:val="en-US"/>
        </w:rPr>
        <w:t>4.11</w:t>
        <w:tab/>
        <w:t xml:space="preserve">The student will identify, describe, compare, and contrast plane and solid figures according to their characteristics (number of angles, vertices, edges, and the number and shape of faces) using concrete models and pictorial representations. </w:t>
      </w:r>
    </w:p>
    <w:p>
      <w:pPr>
        <w:pStyle w:val="Body"/>
        <w:rPr>
          <w:sz w:val="24"/>
          <w:szCs w:val="24"/>
        </w:rPr>
      </w:pPr>
    </w:p>
    <w:p>
      <w:pPr>
        <w:pStyle w:val="Body"/>
        <w:ind w:left="1080" w:hanging="1080"/>
        <w:rPr>
          <w:sz w:val="24"/>
          <w:szCs w:val="24"/>
        </w:rPr>
      </w:pPr>
      <w:r>
        <w:rPr>
          <w:sz w:val="24"/>
          <w:szCs w:val="24"/>
          <w:rtl w:val="0"/>
          <w:lang w:val="en-US"/>
        </w:rPr>
        <w:t>4.12</w:t>
        <w:tab/>
        <w:t>The student will classify quadrilaterals as parallelograms, rectangles, squares, rhombi, and/or trapezoids.</w:t>
      </w:r>
    </w:p>
    <w:p>
      <w:pPr>
        <w:pStyle w:val="Body"/>
      </w:pPr>
      <w:r>
        <w:rPr>
          <w:rFonts w:ascii="Arial Unicode MS" w:cs="Arial Unicode MS" w:hAnsi="Arial Unicode MS" w:eastAsia="Arial Unicode MS"/>
          <w:b w:val="0"/>
          <w:bCs w:val="0"/>
          <w:i w:val="0"/>
          <w:iCs w:val="0"/>
          <w:sz w:val="24"/>
          <w:szCs w:val="24"/>
        </w:rPr>
        <w:br w:type="page"/>
      </w:r>
    </w:p>
    <w:p>
      <w:pPr>
        <w:pStyle w:val="Body"/>
        <w:rPr>
          <w:rFonts w:ascii="Arial" w:cs="Arial" w:hAnsi="Arial" w:eastAsia="Arial"/>
          <w:b w:val="1"/>
          <w:bCs w:val="1"/>
          <w:sz w:val="24"/>
          <w:szCs w:val="24"/>
        </w:rPr>
      </w:pPr>
    </w:p>
    <w:p>
      <w:pPr>
        <w:pStyle w:val="Heading 3"/>
      </w:pPr>
      <w:r>
        <w:rPr>
          <w:rtl w:val="0"/>
          <w:lang w:val="en-US"/>
        </w:rPr>
        <w:t xml:space="preserve">Reporting Category: Probability, Statistics, Patterns, Functions, and Algebra </w:t>
      </w:r>
    </w:p>
    <w:p>
      <w:pPr>
        <w:pStyle w:val="Body"/>
        <w:rPr>
          <w:b w:val="1"/>
          <w:bCs w:val="1"/>
          <w:sz w:val="24"/>
          <w:szCs w:val="24"/>
        </w:rPr>
      </w:pPr>
      <w:r>
        <w:rPr>
          <w:b w:val="1"/>
          <w:bCs w:val="1"/>
          <w:sz w:val="24"/>
          <w:szCs w:val="24"/>
          <w:rtl w:val="0"/>
          <w:lang w:val="de-DE"/>
        </w:rPr>
        <w:t>Number of Items: 8 (CAT)   12 (Traditional)</w:t>
      </w:r>
    </w:p>
    <w:p>
      <w:pPr>
        <w:pStyle w:val="Body"/>
        <w:rPr>
          <w:b w:val="1"/>
          <w:bCs w:val="1"/>
          <w:sz w:val="24"/>
          <w:szCs w:val="24"/>
        </w:rPr>
      </w:pPr>
      <w:r>
        <w:rPr>
          <w:b w:val="1"/>
          <w:bCs w:val="1"/>
          <w:sz w:val="24"/>
          <w:szCs w:val="24"/>
          <w:rtl w:val="0"/>
          <w:lang w:val="en-US"/>
        </w:rPr>
        <w:t>Standards of Learning:</w:t>
      </w:r>
    </w:p>
    <w:p>
      <w:pPr>
        <w:pStyle w:val="Body"/>
        <w:rPr>
          <w:sz w:val="24"/>
          <w:szCs w:val="24"/>
          <w:u w:val="single"/>
        </w:rPr>
      </w:pPr>
    </w:p>
    <w:p>
      <w:pPr>
        <w:pStyle w:val="Body"/>
        <w:ind w:left="1080" w:hanging="1080"/>
        <w:rPr>
          <w:sz w:val="24"/>
          <w:szCs w:val="24"/>
        </w:rPr>
      </w:pPr>
      <w:r>
        <w:rPr>
          <w:sz w:val="24"/>
          <w:szCs w:val="24"/>
          <w:rtl w:val="0"/>
          <w:lang w:val="en-US"/>
        </w:rPr>
        <w:t>4.13</w:t>
        <w:tab/>
        <w:t>The student will</w:t>
      </w:r>
    </w:p>
    <w:p>
      <w:pPr>
        <w:pStyle w:val="List Paragraph"/>
        <w:numPr>
          <w:ilvl w:val="0"/>
          <w:numId w:val="19"/>
        </w:numPr>
        <w:bidi w:val="0"/>
        <w:ind w:right="0"/>
        <w:jc w:val="left"/>
        <w:rPr>
          <w:rtl w:val="0"/>
          <w:lang w:val="en-US"/>
        </w:rPr>
      </w:pPr>
      <w:r>
        <w:rPr>
          <w:outline w:val="0"/>
          <w:color w:val="000000"/>
          <w:u w:color="000000"/>
          <w:rtl w:val="0"/>
          <w:lang w:val="en-US"/>
          <w14:textFill>
            <w14:solidFill>
              <w14:srgbClr w14:val="000000"/>
            </w14:solidFill>
          </w14:textFill>
        </w:rPr>
        <w:t xml:space="preserve">determine the likelihood of an outcome of a simple event; </w:t>
      </w:r>
    </w:p>
    <w:p>
      <w:pPr>
        <w:pStyle w:val="List Paragraph"/>
        <w:numPr>
          <w:ilvl w:val="0"/>
          <w:numId w:val="19"/>
        </w:numPr>
        <w:bidi w:val="0"/>
        <w:ind w:right="0"/>
        <w:jc w:val="left"/>
        <w:rPr>
          <w:rtl w:val="0"/>
          <w:lang w:val="en-US"/>
        </w:rPr>
      </w:pPr>
      <w:r>
        <w:rPr>
          <w:outline w:val="0"/>
          <w:color w:val="000000"/>
          <w:u w:color="000000"/>
          <w:rtl w:val="0"/>
          <w:lang w:val="en-US"/>
          <w14:textFill>
            <w14:solidFill>
              <w14:srgbClr w14:val="000000"/>
            </w14:solidFill>
          </w14:textFill>
        </w:rPr>
        <w:t>represent probability as a number between 0 and 1, inclusive; and</w:t>
      </w:r>
    </w:p>
    <w:p>
      <w:pPr>
        <w:pStyle w:val="List Paragraph"/>
        <w:numPr>
          <w:ilvl w:val="0"/>
          <w:numId w:val="20"/>
        </w:numPr>
        <w:bidi w:val="0"/>
        <w:ind w:right="0"/>
        <w:jc w:val="left"/>
        <w:rPr>
          <w:rtl w:val="0"/>
          <w:lang w:val="en-US"/>
        </w:rPr>
      </w:pPr>
      <w:r>
        <w:rPr>
          <w:outline w:val="0"/>
          <w:color w:val="000000"/>
          <w:u w:color="000000"/>
          <w:rtl w:val="0"/>
          <w:lang w:val="en-US"/>
          <w14:textFill>
            <w14:solidFill>
              <w14:srgbClr w14:val="000000"/>
            </w14:solidFill>
          </w14:textFill>
        </w:rPr>
        <w:t>create a model or practical problem to represent a given probability.</w:t>
      </w:r>
    </w:p>
    <w:p>
      <w:pPr>
        <w:pStyle w:val="Body"/>
        <w:rPr>
          <w:sz w:val="24"/>
          <w:szCs w:val="24"/>
        </w:rPr>
      </w:pPr>
    </w:p>
    <w:p>
      <w:pPr>
        <w:pStyle w:val="Body"/>
        <w:ind w:left="1080" w:hanging="1080"/>
        <w:rPr>
          <w:sz w:val="24"/>
          <w:szCs w:val="24"/>
        </w:rPr>
      </w:pPr>
      <w:r>
        <w:rPr>
          <w:sz w:val="24"/>
          <w:szCs w:val="24"/>
          <w:rtl w:val="0"/>
          <w:lang w:val="en-US"/>
        </w:rPr>
        <w:t>4.14</w:t>
        <w:tab/>
        <w:t xml:space="preserve">The student will </w:t>
      </w:r>
    </w:p>
    <w:p>
      <w:pPr>
        <w:pStyle w:val="List Paragraph"/>
        <w:numPr>
          <w:ilvl w:val="1"/>
          <w:numId w:val="22"/>
        </w:numPr>
        <w:rPr>
          <w:lang w:val="en-US"/>
        </w:rPr>
      </w:pPr>
      <w:r>
        <w:rPr>
          <w:rtl w:val="0"/>
          <w:lang w:val="en-US"/>
        </w:rPr>
        <w:t>collect, organize, and represent data in bar graphs and line graphs;</w:t>
      </w:r>
      <w:r>
        <w:rPr>
          <w:strike w:val="0"/>
          <w:dstrike w:val="1"/>
          <w:rtl w:val="0"/>
          <w:lang w:val="en-US"/>
        </w:rPr>
        <w:t xml:space="preserve"> </w:t>
      </w:r>
    </w:p>
    <w:p>
      <w:pPr>
        <w:pStyle w:val="SOL Number"/>
        <w:numPr>
          <w:ilvl w:val="1"/>
          <w:numId w:val="23"/>
        </w:numPr>
        <w:bidi w:val="0"/>
        <w:ind w:right="0"/>
        <w:jc w:val="left"/>
        <w:rPr>
          <w:rtl w:val="0"/>
          <w:lang w:val="en-US"/>
        </w:rPr>
      </w:pPr>
      <w:r>
        <w:rPr>
          <w:rtl w:val="0"/>
          <w:lang w:val="en-US"/>
        </w:rPr>
        <w:t>interpret data represented in bar graphs and line graphs; and</w:t>
      </w:r>
    </w:p>
    <w:p>
      <w:pPr>
        <w:pStyle w:val="List Paragraph"/>
        <w:numPr>
          <w:ilvl w:val="1"/>
          <w:numId w:val="23"/>
        </w:numPr>
        <w:rPr>
          <w:lang w:val="en-US"/>
        </w:rPr>
      </w:pPr>
      <w:r>
        <w:rPr>
          <w:rtl w:val="0"/>
          <w:lang w:val="en-US"/>
        </w:rPr>
        <w:t>compare two different representations of the same data (e.g., a set of data displayed on a chart and a bar graph, a chart and a line graph, or a pictograph and a bar graph).</w:t>
      </w:r>
    </w:p>
    <w:p>
      <w:pPr>
        <w:pStyle w:val="Body"/>
        <w:rPr>
          <w:b w:val="1"/>
          <w:bCs w:val="1"/>
          <w:sz w:val="24"/>
          <w:szCs w:val="24"/>
        </w:rPr>
      </w:pPr>
    </w:p>
    <w:p>
      <w:pPr>
        <w:pStyle w:val="Body"/>
        <w:ind w:left="1080" w:hanging="1080"/>
        <w:rPr>
          <w:sz w:val="24"/>
          <w:szCs w:val="24"/>
        </w:rPr>
      </w:pPr>
      <w:r>
        <w:rPr>
          <w:sz w:val="24"/>
          <w:szCs w:val="24"/>
          <w:rtl w:val="0"/>
          <w:lang w:val="en-US"/>
        </w:rPr>
        <w:t>4.15</w:t>
        <w:tab/>
        <w:t>The student will identify, describe, create, and extend patterns found in objects, pictures, numbers, and tables.</w:t>
      </w:r>
    </w:p>
    <w:p>
      <w:pPr>
        <w:pStyle w:val="Body"/>
        <w:ind w:left="1080" w:hanging="1080"/>
        <w:rPr>
          <w:sz w:val="24"/>
          <w:szCs w:val="24"/>
        </w:rPr>
      </w:pPr>
    </w:p>
    <w:p>
      <w:pPr>
        <w:pStyle w:val="Body"/>
        <w:tabs>
          <w:tab w:val="left" w:pos="1080"/>
        </w:tabs>
      </w:pPr>
      <w:r>
        <w:rPr>
          <w:sz w:val="24"/>
          <w:szCs w:val="24"/>
          <w:rtl w:val="0"/>
          <w:lang w:val="en-US"/>
        </w:rPr>
        <w:t>4.16</w:t>
        <w:tab/>
        <w:t xml:space="preserve">The student will recognize and demonstrate the meaning of equality in an equation. </w:t>
      </w:r>
    </w:p>
    <w:sectPr>
      <w:headerReference w:type="default" r:id="rId9"/>
      <w:footerReference w:type="default" r:id="rId10"/>
      <w:pgSz w:w="12240" w:h="15840" w:orient="portrait"/>
      <w:pgMar w:top="1440" w:right="1440" w:bottom="72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rial Black">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pBdr>
        <w:top w:val="single" w:color="000000" w:sz="2" w:space="0" w:shadow="0" w:frame="0"/>
        <w:left w:val="nil"/>
        <w:bottom w:val="nil"/>
        <w:right w:val="nil"/>
      </w:pBdr>
      <w:jc w:val="center"/>
      <w:rPr>
        <w:sz w:val="16"/>
        <w:szCs w:val="16"/>
      </w:rPr>
    </w:pPr>
    <w:r>
      <w:rPr>
        <w:sz w:val="16"/>
        <w:szCs w:val="16"/>
        <w:rtl w:val="0"/>
        <w:lang w:val="en-US"/>
      </w:rPr>
      <w:t>This revised test blueprint will be effective beginning with the spring 2023 test administration.</w:t>
    </w:r>
  </w:p>
  <w:p>
    <w:pPr>
      <w:pStyle w:val="footer"/>
      <w:jc w:val="center"/>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4.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lowerLetter"/>
      <w:suff w:val="tab"/>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88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504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720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lowerLetter"/>
      <w:suff w:val="tab"/>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88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504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720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lowerLetter"/>
      <w:suff w:val="tab"/>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88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504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720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lowerLetter"/>
      <w:suff w:val="tab"/>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88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504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720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lowerLetter"/>
      <w:suff w:val="tab"/>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88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504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720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6"/>
  </w:abstractNum>
  <w:abstractNum w:abstractNumId="11">
    <w:multiLevelType w:val="hybridMultilevel"/>
    <w:styleLink w:val="Imported Style 6"/>
    <w:lvl w:ilvl="0">
      <w:start w:val="1"/>
      <w:numFmt w:val="lowerLetter"/>
      <w:suff w:val="tab"/>
      <w:lvlText w:val="%1)"/>
      <w:lvlJc w:val="left"/>
      <w:pPr>
        <w:tabs>
          <w:tab w:val="num" w:pos="1440"/>
        </w:tabs>
        <w:ind w:left="1080" w:firstLine="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num" w:pos="2160"/>
        </w:tabs>
        <w:ind w:left="1800" w:firstLine="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num" w:pos="2880"/>
        </w:tabs>
        <w:ind w:left="2520" w:firstLine="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num" w:pos="3600"/>
        </w:tabs>
        <w:ind w:left="3240" w:firstLine="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num" w:pos="4320"/>
        </w:tabs>
        <w:ind w:left="3960" w:firstLine="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num" w:pos="5040"/>
        </w:tabs>
        <w:ind w:left="4680" w:firstLine="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num" w:pos="5760"/>
        </w:tabs>
        <w:ind w:left="5400" w:firstLine="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num" w:pos="6480"/>
        </w:tabs>
        <w:ind w:left="6120" w:firstLine="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num" w:pos="7200"/>
        </w:tabs>
        <w:ind w:left="6840" w:firstLine="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d Style 7"/>
  </w:abstractNum>
  <w:abstractNum w:abstractNumId="13">
    <w:multiLevelType w:val="hybridMultilevel"/>
    <w:styleLink w:val="Imported Style 7"/>
    <w:lvl w:ilvl="0">
      <w:start w:val="1"/>
      <w:numFmt w:val="lowerLetter"/>
      <w:suff w:val="tab"/>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88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504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720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Imported Style 8"/>
  </w:abstractNum>
  <w:abstractNum w:abstractNumId="15">
    <w:multiLevelType w:val="hybridMultilevel"/>
    <w:styleLink w:val="Imported Style 8"/>
    <w:lvl w:ilvl="0">
      <w:start w:val="1"/>
      <w:numFmt w:val="lowerLetter"/>
      <w:suff w:val="tab"/>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88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504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720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Imported Style 9"/>
  </w:abstractNum>
  <w:abstractNum w:abstractNumId="17">
    <w:multiLevelType w:val="hybridMultilevel"/>
    <w:styleLink w:val="Imported Style 9"/>
    <w:lvl w:ilvl="0">
      <w:start w:val="1"/>
      <w:numFmt w:val="lowerLetter"/>
      <w:suff w:val="tab"/>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88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504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720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multiLevelType w:val="hybridMultilevel"/>
    <w:numStyleLink w:val="Imported Style 10"/>
  </w:abstractNum>
  <w:abstractNum w:abstractNumId="19">
    <w:multiLevelType w:val="hybridMultilevel"/>
    <w:styleLink w:val="Imported Style 10"/>
    <w:lvl w:ilvl="0">
      <w:start w:val="1"/>
      <w:numFmt w:val="lowerLetter"/>
      <w:suff w:val="tab"/>
      <w:lvlText w:val="%1)"/>
      <w:lvlJc w:val="left"/>
      <w:pPr>
        <w:tabs>
          <w:tab w:val="left" w:pos="1080"/>
        </w:tabs>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108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1080"/>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108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108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1080"/>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08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108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1080"/>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11"/>
  </w:num>
  <w:num w:numId="12">
    <w:abstractNumId w:val="10"/>
  </w:num>
  <w:num w:numId="13">
    <w:abstractNumId w:val="10"/>
    <w:lvlOverride w:ilvl="0">
      <w:lvl w:ilvl="0">
        <w:start w:val="1"/>
        <w:numFmt w:val="lowerLetter"/>
        <w:suff w:val="tab"/>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88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504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7200"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
    <w:abstractNumId w:val="13"/>
  </w:num>
  <w:num w:numId="15">
    <w:abstractNumId w:val="12"/>
  </w:num>
  <w:num w:numId="16">
    <w:abstractNumId w:val="15"/>
  </w:num>
  <w:num w:numId="17">
    <w:abstractNumId w:val="14"/>
  </w:num>
  <w:num w:numId="18">
    <w:abstractNumId w:val="17"/>
  </w:num>
  <w:num w:numId="19">
    <w:abstractNumId w:val="16"/>
  </w:num>
  <w:num w:numId="20">
    <w:abstractNumId w:val="10"/>
    <w:lvlOverride w:ilvl="0">
      <w:startOverride w:val="3"/>
      <w:lvl w:ilvl="0">
        <w:start w:val="3"/>
        <w:numFmt w:val="lowerLetter"/>
        <w:suff w:val="tab"/>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88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504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7200"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
    <w:abstractNumId w:val="19"/>
  </w:num>
  <w:num w:numId="22">
    <w:abstractNumId w:val="18"/>
  </w:num>
  <w:num w:numId="23">
    <w:abstractNumId w:val="18"/>
    <w:lvlOverride w:ilvl="0">
      <w:lvl w:ilvl="0">
        <w:start w:val="1"/>
        <w:numFmt w:val="lowerLetter"/>
        <w:suff w:val="tab"/>
        <w:lvlText w:val="%1)"/>
        <w:lvlJc w:val="left"/>
        <w:pPr>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14:textOutline>
        <w14:noFill/>
      </w14:textOutline>
      <w14:textFill>
        <w14:solidFill>
          <w14:srgbClr w14:val="000000"/>
        </w14:solidFill>
      </w14:textFill>
    </w:rPr>
  </w:style>
  <w:style w:type="paragraph" w:styleId="Heading">
    <w:name w:val="Heading"/>
    <w:next w:val="Body"/>
    <w:pPr>
      <w:keepNext w:val="0"/>
      <w:keepLines w:val="0"/>
      <w:pageBreakBefore w:val="0"/>
      <w:widowControl w:val="1"/>
      <w:shd w:val="clear" w:color="auto" w:fill="auto"/>
      <w:suppressAutoHyphens w:val="0"/>
      <w:bidi w:val="0"/>
      <w:spacing w:before="0" w:after="0" w:line="240" w:lineRule="auto"/>
      <w:ind w:left="0" w:right="0" w:firstLine="0"/>
      <w:jc w:val="center"/>
      <w:outlineLvl w:val="0"/>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72"/>
      <w:szCs w:val="72"/>
      <w:u w:val="none" w:color="000000"/>
      <w:shd w:val="nil" w:color="auto" w:fill="auto"/>
      <w:vertAlign w:val="baseline"/>
      <w:lang w:val="en-US"/>
      <w14:textOutline>
        <w14:noFill/>
      </w14:textOutline>
      <w14:textFill>
        <w14:solidFill>
          <w14:srgbClr w14:val="000000"/>
        </w14:solidFill>
      </w14:textFill>
    </w:rPr>
  </w:style>
  <w:style w:type="paragraph" w:styleId="Body Text 3">
    <w:name w:val="Body Text 3"/>
    <w:next w:val="Body Text 3"/>
    <w:pPr>
      <w:keepNext w:val="0"/>
      <w:keepLines w:val="0"/>
      <w:pageBreakBefore w:val="0"/>
      <w:widowControl w:val="1"/>
      <w:shd w:val="clear" w:color="auto" w:fill="auto"/>
      <w:tabs>
        <w:tab w:val="right" w:pos="8550" w:leader="dot"/>
      </w:tabs>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character" w:styleId="Hyperlink.0">
    <w:name w:val="Hyperlink.0"/>
    <w:basedOn w:val="Hyperlink"/>
    <w:next w:val="Hyperlink.0"/>
    <w:rPr>
      <w:outline w:val="0"/>
      <w:color w:val="0000ff"/>
      <w:u w:val="single" w:color="0000ff"/>
      <w14:textFill>
        <w14:solidFill>
          <w14:srgbClr w14:val="0000FF"/>
        </w14:solidFill>
      </w14:textFill>
    </w:rPr>
  </w:style>
  <w:style w:type="paragraph" w:styleId="Heading 2">
    <w:name w:val="Heading 2"/>
    <w:next w:val="Body"/>
    <w:pPr>
      <w:keepNext w:val="1"/>
      <w:keepLines w:val="0"/>
      <w:pageBreakBefore w:val="0"/>
      <w:widowControl w:val="1"/>
      <w:shd w:val="clear" w:color="auto" w:fill="auto"/>
      <w:suppressAutoHyphens w:val="0"/>
      <w:bidi w:val="0"/>
      <w:spacing w:before="240" w:after="480" w:line="240" w:lineRule="auto"/>
      <w:ind w:left="0" w:right="0" w:firstLine="0"/>
      <w:jc w:val="center"/>
      <w:outlineLvl w:val="1"/>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lang w:val="en-US"/>
      <w14:textOutline>
        <w14:noFill/>
      </w14:textOutline>
      <w14:textFill>
        <w14:solidFill>
          <w14:srgbClr w14:val="000000"/>
        </w14:solidFill>
      </w14:textFill>
    </w:rPr>
  </w:style>
  <w:style w:type="paragraph" w:styleId="header">
    <w:name w:val="header"/>
    <w:next w:val="head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paragraph" w:styleId="Heading 3">
    <w:name w:val="Heading 3"/>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2"/>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Body Text">
    <w:name w:val="Body Text"/>
    <w:next w:val="Body Text"/>
    <w:pPr>
      <w:keepNext w:val="0"/>
      <w:keepLines w:val="0"/>
      <w:pageBreakBefore w:val="0"/>
      <w:widowControl w:val="1"/>
      <w:shd w:val="clear" w:color="auto" w:fill="auto"/>
      <w:suppressAutoHyphens w:val="0"/>
      <w:bidi w:val="0"/>
      <w:spacing w:before="0" w:after="12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paragraph" w:styleId="heading 4">
    <w:name w:val="heading 4"/>
    <w:next w:val="Body"/>
    <w:pPr>
      <w:keepNext w:val="1"/>
      <w:keepLines w:val="0"/>
      <w:pageBreakBefore w:val="0"/>
      <w:widowControl w:val="1"/>
      <w:shd w:val="clear" w:color="auto" w:fill="auto"/>
      <w:suppressAutoHyphens w:val="0"/>
      <w:bidi w:val="0"/>
      <w:spacing w:before="240" w:after="60" w:line="240" w:lineRule="auto"/>
      <w:ind w:left="0" w:right="0" w:firstLine="0"/>
      <w:jc w:val="left"/>
      <w:outlineLvl w:val="2"/>
    </w:pP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lang w:val="en-US"/>
      <w14:textFill>
        <w14:solidFill>
          <w14:srgbClr w14:val="000000"/>
        </w14:solidFill>
      </w14:textFill>
    </w:rPr>
  </w:style>
  <w:style w:type="character" w:styleId="Hyperlink.1">
    <w:name w:val="Hyperlink.1"/>
    <w:basedOn w:val="Hyperlink.0"/>
    <w:next w:val="Hyperlink.1"/>
    <w:rPr>
      <w:shd w:val="clear" w:color="auto" w:fill="ffffff"/>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paragraph" w:styleId="SOL Number">
    <w:name w:val="SOL Number"/>
    <w:next w:val="SOL Number"/>
    <w:pPr>
      <w:keepNext w:val="0"/>
      <w:keepLines w:val="1"/>
      <w:pageBreakBefore w:val="0"/>
      <w:widowControl w:val="1"/>
      <w:shd w:val="clear" w:color="auto" w:fill="auto"/>
      <w:suppressAutoHyphens w:val="0"/>
      <w:bidi w:val="0"/>
      <w:spacing w:before="0" w:after="0" w:line="240" w:lineRule="auto"/>
      <w:ind w:left="907" w:right="0" w:hanging="907"/>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Fill>
        <w14:solidFill>
          <w14:srgbClr w14:val="000000"/>
        </w14:solidFill>
      </w14:textFill>
    </w:r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4">
    <w:name w:val="Imported Style 4"/>
    <w:pPr>
      <w:numPr>
        <w:numId w:val="7"/>
      </w:numPr>
    </w:pPr>
  </w:style>
  <w:style w:type="numbering" w:styleId="Imported Style 5">
    <w:name w:val="Imported Style 5"/>
    <w:pPr>
      <w:numPr>
        <w:numId w:val="9"/>
      </w:numPr>
    </w:pPr>
  </w:style>
  <w:style w:type="paragraph" w:styleId="SOL Bullet">
    <w:name w:val="SOL Bullet"/>
    <w:next w:val="SOL Bullet"/>
    <w:pPr>
      <w:keepNext w:val="0"/>
      <w:keepLines w:val="0"/>
      <w:pageBreakBefore w:val="0"/>
      <w:widowControl w:val="1"/>
      <w:shd w:val="clear" w:color="auto" w:fill="auto"/>
      <w:suppressAutoHyphens w:val="0"/>
      <w:bidi w:val="0"/>
      <w:spacing w:before="0" w:after="0" w:line="240" w:lineRule="auto"/>
      <w:ind w:left="1440" w:right="0" w:hanging="36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6">
    <w:name w:val="Imported Style 6"/>
    <w:pPr>
      <w:numPr>
        <w:numId w:val="11"/>
      </w:numPr>
    </w:pPr>
  </w:style>
  <w:style w:type="numbering" w:styleId="Imported Style 7">
    <w:name w:val="Imported Style 7"/>
    <w:pPr>
      <w:numPr>
        <w:numId w:val="14"/>
      </w:numPr>
    </w:pPr>
  </w:style>
  <w:style w:type="numbering" w:styleId="Imported Style 8">
    <w:name w:val="Imported Style 8"/>
    <w:pPr>
      <w:numPr>
        <w:numId w:val="16"/>
      </w:numPr>
    </w:pPr>
  </w:style>
  <w:style w:type="numbering" w:styleId="Imported Style 9">
    <w:name w:val="Imported Style 9"/>
    <w:pPr>
      <w:numPr>
        <w:numId w:val="18"/>
      </w:numPr>
    </w:pPr>
  </w:style>
  <w:style w:type="numbering" w:styleId="Imported Style 10">
    <w:name w:val="Imported Style 10"/>
    <w:pPr>
      <w:numPr>
        <w:numId w:val="2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2.xml"/><Relationship Id="rId11" Type="http://schemas.openxmlformats.org/officeDocument/2006/relationships/numbering" Target="numbering.xml"/><Relationship Id="rId12"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