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07" w:rsidRDefault="006B1982" w:rsidP="006B1982">
      <w:pPr>
        <w:rPr>
          <w:b/>
        </w:rPr>
      </w:pPr>
      <w:r w:rsidRPr="006B1982">
        <w:rPr>
          <w:b/>
        </w:rPr>
        <w:t xml:space="preserve">RE: </w:t>
      </w:r>
      <w:r w:rsidR="00F81DF1">
        <w:rPr>
          <w:b/>
        </w:rPr>
        <w:t>Virginia</w:t>
      </w:r>
      <w:r w:rsidR="00FA2AD9">
        <w:rPr>
          <w:b/>
        </w:rPr>
        <w:t xml:space="preserve"> and RGGI</w:t>
      </w:r>
      <w:r w:rsidR="00D36660">
        <w:rPr>
          <w:b/>
        </w:rPr>
        <w:t xml:space="preserve"> Public Comments to </w:t>
      </w:r>
      <w:r w:rsidR="00CD0B84">
        <w:rPr>
          <w:b/>
        </w:rPr>
        <w:t>Virginia Air Pollution Control Board</w:t>
      </w:r>
    </w:p>
    <w:p w:rsidR="006A5F4B" w:rsidRDefault="006B1982" w:rsidP="006B1982">
      <w:pPr>
        <w:rPr>
          <w:b/>
        </w:rPr>
      </w:pPr>
      <w:r w:rsidRPr="006B1982">
        <w:rPr>
          <w:b/>
        </w:rPr>
        <w:t>DATE</w:t>
      </w:r>
      <w:r w:rsidR="00C02F64">
        <w:rPr>
          <w:b/>
        </w:rPr>
        <w:tab/>
      </w:r>
      <w:r w:rsidR="00B4621C">
        <w:rPr>
          <w:b/>
        </w:rPr>
        <w:t>:</w:t>
      </w:r>
      <w:r w:rsidR="00AD5787">
        <w:rPr>
          <w:b/>
        </w:rPr>
        <w:t xml:space="preserve"> </w:t>
      </w:r>
      <w:r w:rsidR="00E7207B">
        <w:rPr>
          <w:b/>
        </w:rPr>
        <w:t>3</w:t>
      </w:r>
      <w:r w:rsidR="00FA2AD9">
        <w:rPr>
          <w:b/>
        </w:rPr>
        <w:t>/</w:t>
      </w:r>
      <w:r w:rsidR="00455DBD">
        <w:rPr>
          <w:b/>
        </w:rPr>
        <w:t>9</w:t>
      </w:r>
      <w:r w:rsidR="00E7207B">
        <w:rPr>
          <w:b/>
        </w:rPr>
        <w:t>/2023</w:t>
      </w:r>
      <w:r w:rsidR="00C02F64">
        <w:rPr>
          <w:b/>
        </w:rPr>
        <w:tab/>
      </w:r>
      <w:r w:rsidR="00354F89">
        <w:rPr>
          <w:b/>
        </w:rPr>
        <w:tab/>
      </w:r>
      <w:r w:rsidR="00354F89">
        <w:rPr>
          <w:b/>
        </w:rPr>
        <w:tab/>
      </w:r>
      <w:r w:rsidR="00354F89">
        <w:rPr>
          <w:b/>
        </w:rPr>
        <w:tab/>
      </w:r>
      <w:r w:rsidR="00354F89">
        <w:rPr>
          <w:b/>
        </w:rPr>
        <w:tab/>
      </w:r>
      <w:r w:rsidR="00354F89">
        <w:rPr>
          <w:b/>
        </w:rPr>
        <w:tab/>
        <w:t>David T. Stevenson, Director</w:t>
      </w:r>
    </w:p>
    <w:p w:rsidR="006A5F4B" w:rsidRDefault="009527AD" w:rsidP="006B1982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FD248E" w:rsidRPr="00387A1E" w:rsidRDefault="00D622B8" w:rsidP="00155BA9">
      <w:pPr>
        <w:ind w:firstLine="360"/>
      </w:pPr>
      <w:r>
        <w:t xml:space="preserve">I conducted a multi-state study, updated for </w:t>
      </w:r>
      <w:r w:rsidR="00F81DF1">
        <w:t>Virginia</w:t>
      </w:r>
      <w:r w:rsidR="00C96442">
        <w:t>, which</w:t>
      </w:r>
      <w:r>
        <w:t xml:space="preserve"> came to the same conclusion as a Congressional Research Center study</w:t>
      </w:r>
      <w:r w:rsidR="00E15851">
        <w:rPr>
          <w:vertAlign w:val="superscript"/>
        </w:rPr>
        <w:t>1</w:t>
      </w:r>
      <w:r>
        <w:t>.  The d</w:t>
      </w:r>
      <w:r w:rsidR="00EA25D4">
        <w:t>ozen year</w:t>
      </w:r>
      <w:r>
        <w:t xml:space="preserve"> old RGGI program has resulted in no </w:t>
      </w:r>
      <w:r w:rsidR="00DD42E1">
        <w:t xml:space="preserve">significant </w:t>
      </w:r>
      <w:r>
        <w:t>additional emission reduction compared to comparison states</w:t>
      </w:r>
      <w:r w:rsidR="00166FA5">
        <w:t xml:space="preserve">, but did shift generation </w:t>
      </w:r>
      <w:r w:rsidR="00A61BF2">
        <w:t xml:space="preserve">and jobs </w:t>
      </w:r>
      <w:r w:rsidR="00166FA5">
        <w:t>to other states</w:t>
      </w:r>
      <w:r w:rsidR="004E7C5C">
        <w:t>.</w:t>
      </w:r>
      <w:r w:rsidR="00DF2D6B">
        <w:t xml:space="preserve"> </w:t>
      </w:r>
      <w:r w:rsidR="00166FA5">
        <w:t>Virginia</w:t>
      </w:r>
      <w:r w:rsidR="00155BA9">
        <w:t xml:space="preserve"> electric generation fell </w:t>
      </w:r>
      <w:r w:rsidR="00E7207B">
        <w:t xml:space="preserve">12% in </w:t>
      </w:r>
      <w:r w:rsidR="00391278">
        <w:t>202</w:t>
      </w:r>
      <w:r w:rsidR="00E7207B">
        <w:t>2 compared to 2020</w:t>
      </w:r>
      <w:r w:rsidR="005D64C1">
        <w:t xml:space="preserve">. Power imports </w:t>
      </w:r>
      <w:r w:rsidR="0024312D">
        <w:t xml:space="preserve">from the regional </w:t>
      </w:r>
      <w:r w:rsidR="00D36660">
        <w:t xml:space="preserve">grid </w:t>
      </w:r>
      <w:r w:rsidR="005D64C1">
        <w:t>grew from 12% of demand to 30%</w:t>
      </w:r>
      <w:r w:rsidR="0024312D">
        <w:t xml:space="preserve">, and that grid expects power shortages by 2030.  </w:t>
      </w:r>
      <w:r w:rsidR="00387A1E">
        <w:t>In state CO</w:t>
      </w:r>
      <w:r w:rsidR="00387A1E">
        <w:rPr>
          <w:vertAlign w:val="subscript"/>
        </w:rPr>
        <w:t>2</w:t>
      </w:r>
      <w:r w:rsidR="00387A1E">
        <w:t xml:space="preserve"> emissions fell by 6.6 million metric tons from 2020 to 2022, but increased electricity imports increased emissions </w:t>
      </w:r>
      <w:r w:rsidR="00E30086">
        <w:t>10.3</w:t>
      </w:r>
      <w:r w:rsidR="00387A1E">
        <w:t xml:space="preserve"> million tons elsewhere</w:t>
      </w:r>
      <w:r w:rsidR="0075122B">
        <w:t xml:space="preserve"> for a net </w:t>
      </w:r>
      <w:r w:rsidR="00E30086">
        <w:t>3.7</w:t>
      </w:r>
      <w:r w:rsidR="0075122B">
        <w:t xml:space="preserve"> million ton increase</w:t>
      </w:r>
      <w:r w:rsidR="00387A1E">
        <w:t>.  Meanwhile the $523 million in RGGI revenue w</w:t>
      </w:r>
      <w:r w:rsidR="00A61BF2">
        <w:t>ill be</w:t>
      </w:r>
      <w:r w:rsidR="00387A1E">
        <w:t xml:space="preserve"> added to electric bills while in state generators lost $840 million in </w:t>
      </w:r>
      <w:r w:rsidR="0075122B">
        <w:t xml:space="preserve">electric generation </w:t>
      </w:r>
      <w:r w:rsidR="00387A1E">
        <w:t>revenue.</w:t>
      </w:r>
      <w:r w:rsidR="0024312D">
        <w:t xml:space="preserve">  Over a decade the RGGI could cost </w:t>
      </w:r>
      <w:r w:rsidR="0075122B">
        <w:t xml:space="preserve">Virginia </w:t>
      </w:r>
      <w:r w:rsidR="0024312D">
        <w:t>$25 billion.</w:t>
      </w:r>
    </w:p>
    <w:tbl>
      <w:tblPr>
        <w:tblW w:w="6875" w:type="dxa"/>
        <w:tblLook w:val="04A0" w:firstRow="1" w:lastRow="0" w:firstColumn="1" w:lastColumn="0" w:noHBand="0" w:noVBand="1"/>
      </w:tblPr>
      <w:tblGrid>
        <w:gridCol w:w="1514"/>
        <w:gridCol w:w="1419"/>
        <w:gridCol w:w="1419"/>
        <w:gridCol w:w="1352"/>
        <w:gridCol w:w="1171"/>
      </w:tblGrid>
      <w:tr w:rsidR="001C41E9" w:rsidRPr="00FD248E" w:rsidTr="001C41E9">
        <w:trPr>
          <w:trHeight w:val="62"/>
        </w:trPr>
        <w:tc>
          <w:tcPr>
            <w:tcW w:w="151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FD248E" w:rsidRPr="00FD248E" w:rsidRDefault="00FD248E" w:rsidP="00FD248E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D248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val="single"/>
              </w:rPr>
              <w:t>Fuel Source</w:t>
            </w: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FD248E" w:rsidRPr="00FD248E" w:rsidRDefault="00FD248E" w:rsidP="00376F0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D248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val="single"/>
              </w:rPr>
              <w:t>202</w:t>
            </w:r>
            <w:r w:rsidR="00376F0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val="single"/>
              </w:rPr>
              <w:t>2</w:t>
            </w:r>
            <w:r w:rsidR="00166FA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val="single"/>
              </w:rPr>
              <w:t xml:space="preserve"> MWh</w:t>
            </w: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FD248E" w:rsidRPr="00FD248E" w:rsidRDefault="00FD248E" w:rsidP="00FD248E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D248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val="single"/>
              </w:rPr>
              <w:t>2020</w:t>
            </w:r>
            <w:r w:rsidR="00166FA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val="single"/>
              </w:rPr>
              <w:t xml:space="preserve"> MWh</w:t>
            </w:r>
          </w:p>
        </w:tc>
        <w:tc>
          <w:tcPr>
            <w:tcW w:w="13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FD248E" w:rsidRPr="00FD248E" w:rsidRDefault="00FD248E" w:rsidP="00FD248E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D248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val="single"/>
              </w:rPr>
              <w:t>Difference</w:t>
            </w:r>
          </w:p>
        </w:tc>
        <w:tc>
          <w:tcPr>
            <w:tcW w:w="11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FD248E" w:rsidRPr="00FD248E" w:rsidRDefault="00FD248E" w:rsidP="00FD248E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D248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val="single"/>
              </w:rPr>
              <w:t>% Change</w:t>
            </w:r>
          </w:p>
        </w:tc>
      </w:tr>
      <w:tr w:rsidR="001C41E9" w:rsidRPr="00FD248E" w:rsidTr="001C41E9">
        <w:trPr>
          <w:trHeight w:val="62"/>
        </w:trPr>
        <w:tc>
          <w:tcPr>
            <w:tcW w:w="151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FD248E" w:rsidP="00FD24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Coal</w:t>
            </w: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FD248E" w:rsidP="00376F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  <w:r w:rsidR="00376F0F">
              <w:rPr>
                <w:rFonts w:ascii="Calibri" w:hAnsi="Calibri" w:cs="Calibri"/>
                <w:color w:val="000000"/>
                <w:sz w:val="22"/>
                <w:szCs w:val="22"/>
              </w:rPr>
              <w:t>3,346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FD248E" w:rsidP="00010A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  <w:r w:rsidR="00010AF0">
              <w:rPr>
                <w:rFonts w:ascii="Calibri" w:hAnsi="Calibri" w:cs="Calibri"/>
                <w:color w:val="000000"/>
                <w:sz w:val="22"/>
                <w:szCs w:val="22"/>
              </w:rPr>
              <w:t>3,763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13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FD248E" w:rsidP="00010A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r w:rsidR="00010AF0">
              <w:rPr>
                <w:rFonts w:ascii="Calibri" w:hAnsi="Calibri" w:cs="Calibri"/>
                <w:color w:val="000000"/>
                <w:sz w:val="22"/>
                <w:szCs w:val="22"/>
              </w:rPr>
              <w:t>(417</w:t>
            </w:r>
            <w:r w:rsidR="00376F0F">
              <w:rPr>
                <w:rFonts w:ascii="Calibri" w:hAnsi="Calibri" w:cs="Calibri"/>
                <w:color w:val="000000"/>
                <w:sz w:val="22"/>
                <w:szCs w:val="22"/>
              </w:rPr>
              <w:t>,000</w:t>
            </w:r>
            <w:r w:rsidR="00010AF0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010AF0" w:rsidP="00FD24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  <w:r w:rsidR="00FD248E"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1C41E9" w:rsidRPr="00FD248E" w:rsidTr="001C41E9">
        <w:trPr>
          <w:trHeight w:val="62"/>
        </w:trPr>
        <w:tc>
          <w:tcPr>
            <w:tcW w:w="151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248E" w:rsidRPr="00FD248E" w:rsidRDefault="00FD248E" w:rsidP="00FD24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Natural Gas</w:t>
            </w: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248E" w:rsidRPr="00FD248E" w:rsidRDefault="00FD248E" w:rsidP="00376F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r w:rsidR="00376F0F">
              <w:rPr>
                <w:rFonts w:ascii="Calibri" w:hAnsi="Calibri" w:cs="Calibri"/>
                <w:color w:val="000000"/>
                <w:sz w:val="22"/>
                <w:szCs w:val="22"/>
              </w:rPr>
              <w:t>50,318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248E" w:rsidRPr="00FD248E" w:rsidRDefault="00FD248E" w:rsidP="00010A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r w:rsidR="00010AF0">
              <w:rPr>
                <w:rFonts w:ascii="Calibri" w:hAnsi="Calibri" w:cs="Calibri"/>
                <w:color w:val="000000"/>
                <w:sz w:val="22"/>
                <w:szCs w:val="22"/>
              </w:rPr>
              <w:t>62,623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13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248E" w:rsidRPr="00FD248E" w:rsidRDefault="00FD248E" w:rsidP="00010A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(</w:t>
            </w:r>
            <w:r w:rsidR="00010AF0">
              <w:rPr>
                <w:rFonts w:ascii="Calibri" w:hAnsi="Calibri" w:cs="Calibri"/>
                <w:color w:val="000000"/>
                <w:sz w:val="22"/>
                <w:szCs w:val="22"/>
              </w:rPr>
              <w:t>12,305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,000)</w:t>
            </w:r>
          </w:p>
        </w:tc>
        <w:tc>
          <w:tcPr>
            <w:tcW w:w="11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FD248E" w:rsidRPr="00FD248E" w:rsidRDefault="00FD248E" w:rsidP="00010A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010AF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1C41E9" w:rsidRPr="00FD248E" w:rsidTr="001C41E9">
        <w:trPr>
          <w:trHeight w:val="62"/>
        </w:trPr>
        <w:tc>
          <w:tcPr>
            <w:tcW w:w="151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FD248E" w:rsidP="00FD24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Petroleum</w:t>
            </w: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376F0F" w:rsidP="00376F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581</w:t>
            </w:r>
            <w:r w:rsidR="00FD248E"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FD248E" w:rsidP="00010A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</w:t>
            </w:r>
            <w:r w:rsidR="00010AF0"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13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FD248E" w:rsidP="00010A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  <w:r w:rsidR="00010AF0"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11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010AF0" w:rsidP="00FD24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  <w:r w:rsidR="00FD248E"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1C41E9" w:rsidRPr="00FD248E" w:rsidTr="001C41E9">
        <w:trPr>
          <w:trHeight w:val="62"/>
        </w:trPr>
        <w:tc>
          <w:tcPr>
            <w:tcW w:w="151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248E" w:rsidRPr="00FD248E" w:rsidRDefault="00FD248E" w:rsidP="00FD24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Other Gases</w:t>
            </w: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248E" w:rsidRPr="00FD248E" w:rsidRDefault="00FD248E" w:rsidP="00376F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</w:t>
            </w:r>
            <w:r w:rsidR="00376F0F">
              <w:rPr>
                <w:rFonts w:ascii="Calibri" w:hAnsi="Calibri" w:cs="Calibri"/>
                <w:color w:val="000000"/>
                <w:sz w:val="22"/>
                <w:szCs w:val="22"/>
              </w:rPr>
              <w:t>523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248E" w:rsidRPr="00FD248E" w:rsidRDefault="00FD248E" w:rsidP="00010A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</w:t>
            </w:r>
            <w:r w:rsidR="00010AF0">
              <w:rPr>
                <w:rFonts w:ascii="Calibri" w:hAnsi="Calibri" w:cs="Calibri"/>
                <w:color w:val="000000"/>
                <w:sz w:val="22"/>
                <w:szCs w:val="22"/>
              </w:rPr>
              <w:t>557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13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248E" w:rsidRPr="00FD248E" w:rsidRDefault="00FD248E" w:rsidP="00010A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(</w:t>
            </w:r>
            <w:r w:rsidR="00010AF0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,000)</w:t>
            </w:r>
          </w:p>
        </w:tc>
        <w:tc>
          <w:tcPr>
            <w:tcW w:w="11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FD248E" w:rsidRPr="00FD248E" w:rsidRDefault="00FD248E" w:rsidP="00FD24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010AF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1C41E9" w:rsidRPr="00FD248E" w:rsidTr="001C41E9">
        <w:trPr>
          <w:trHeight w:val="62"/>
        </w:trPr>
        <w:tc>
          <w:tcPr>
            <w:tcW w:w="151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FD248E" w:rsidP="00FD24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Total Fossil Fuel</w:t>
            </w: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FD248E" w:rsidP="00376F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r w:rsidR="00376F0F">
              <w:rPr>
                <w:rFonts w:ascii="Calibri" w:hAnsi="Calibri" w:cs="Calibri"/>
                <w:color w:val="000000"/>
                <w:sz w:val="22"/>
                <w:szCs w:val="22"/>
              </w:rPr>
              <w:t>54,768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FD248E" w:rsidP="00010A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r w:rsidR="00010AF0">
              <w:rPr>
                <w:rFonts w:ascii="Calibri" w:hAnsi="Calibri" w:cs="Calibri"/>
                <w:color w:val="000000"/>
                <w:sz w:val="22"/>
                <w:szCs w:val="22"/>
              </w:rPr>
              <w:t>67,174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13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FD248E" w:rsidP="00010A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(</w:t>
            </w:r>
            <w:r w:rsidR="00010AF0">
              <w:rPr>
                <w:rFonts w:ascii="Calibri" w:hAnsi="Calibri" w:cs="Calibri"/>
                <w:color w:val="000000"/>
                <w:sz w:val="22"/>
                <w:szCs w:val="22"/>
              </w:rPr>
              <w:t>12,406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,000)</w:t>
            </w:r>
          </w:p>
        </w:tc>
        <w:tc>
          <w:tcPr>
            <w:tcW w:w="11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FD248E" w:rsidP="00FD24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-15%</w:t>
            </w:r>
          </w:p>
        </w:tc>
      </w:tr>
      <w:tr w:rsidR="001C41E9" w:rsidRPr="00FD248E" w:rsidTr="001C41E9">
        <w:trPr>
          <w:trHeight w:val="62"/>
        </w:trPr>
        <w:tc>
          <w:tcPr>
            <w:tcW w:w="151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248E" w:rsidRPr="00FD248E" w:rsidRDefault="00FD248E" w:rsidP="00FD24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248E" w:rsidRPr="00FD248E" w:rsidRDefault="00FD248E" w:rsidP="00FD248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248E" w:rsidRPr="00FD248E" w:rsidRDefault="00FD248E" w:rsidP="00FD248E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248E" w:rsidRPr="00FD248E" w:rsidRDefault="00FD248E" w:rsidP="00FD248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FD248E" w:rsidRPr="00FD248E" w:rsidRDefault="00FD248E" w:rsidP="00FD248E">
            <w:pPr>
              <w:rPr>
                <w:sz w:val="20"/>
                <w:szCs w:val="20"/>
              </w:rPr>
            </w:pPr>
          </w:p>
        </w:tc>
      </w:tr>
      <w:tr w:rsidR="001C41E9" w:rsidRPr="00FD248E" w:rsidTr="001C41E9">
        <w:trPr>
          <w:trHeight w:val="62"/>
        </w:trPr>
        <w:tc>
          <w:tcPr>
            <w:tcW w:w="151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FD248E" w:rsidP="00FD24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Nuclear</w:t>
            </w: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FD248E" w:rsidP="00376F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2</w:t>
            </w:r>
            <w:r w:rsidR="00376F0F">
              <w:rPr>
                <w:rFonts w:ascii="Calibri" w:hAnsi="Calibri" w:cs="Calibri"/>
                <w:color w:val="000000"/>
                <w:sz w:val="22"/>
                <w:szCs w:val="22"/>
              </w:rPr>
              <w:t>8,197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FD248E" w:rsidP="00010A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r w:rsidR="00010AF0">
              <w:rPr>
                <w:rFonts w:ascii="Calibri" w:hAnsi="Calibri" w:cs="Calibri"/>
                <w:color w:val="000000"/>
                <w:sz w:val="22"/>
                <w:szCs w:val="22"/>
              </w:rPr>
              <w:t>30,140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13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FD248E" w:rsidP="00010A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(</w:t>
            </w:r>
            <w:r w:rsidR="00010AF0">
              <w:rPr>
                <w:rFonts w:ascii="Calibri" w:hAnsi="Calibri" w:cs="Calibri"/>
                <w:color w:val="000000"/>
                <w:sz w:val="22"/>
                <w:szCs w:val="22"/>
              </w:rPr>
              <w:t>1,943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,000)</w:t>
            </w:r>
          </w:p>
        </w:tc>
        <w:tc>
          <w:tcPr>
            <w:tcW w:w="11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FD248E" w:rsidP="00010A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010AF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1C41E9" w:rsidRPr="00FD248E" w:rsidTr="001C41E9">
        <w:trPr>
          <w:trHeight w:val="62"/>
        </w:trPr>
        <w:tc>
          <w:tcPr>
            <w:tcW w:w="151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248E" w:rsidRPr="00FD248E" w:rsidRDefault="00FD248E" w:rsidP="00FD24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Net Hydro</w:t>
            </w:r>
            <w:r w:rsidR="00110184">
              <w:rPr>
                <w:rFonts w:ascii="Calibri" w:hAnsi="Calibri" w:cs="Calibri"/>
                <w:color w:val="000000"/>
                <w:sz w:val="22"/>
                <w:szCs w:val="22"/>
              </w:rPr>
              <w:t>power</w:t>
            </w: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248E" w:rsidRPr="00FD248E" w:rsidRDefault="00FD248E" w:rsidP="00376F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</w:t>
            </w:r>
            <w:r w:rsidR="00376F0F">
              <w:rPr>
                <w:rFonts w:ascii="Calibri" w:hAnsi="Calibri" w:cs="Calibri"/>
                <w:color w:val="000000"/>
                <w:sz w:val="22"/>
                <w:szCs w:val="22"/>
              </w:rPr>
              <w:t>1,145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248E" w:rsidRPr="00FD248E" w:rsidRDefault="00FD248E" w:rsidP="00010A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</w:t>
            </w:r>
            <w:r w:rsidR="00010AF0">
              <w:rPr>
                <w:rFonts w:ascii="Calibri" w:hAnsi="Calibri" w:cs="Calibri"/>
                <w:color w:val="000000"/>
                <w:sz w:val="22"/>
                <w:szCs w:val="22"/>
              </w:rPr>
              <w:t>950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13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248E" w:rsidRPr="00FD248E" w:rsidRDefault="00FD248E" w:rsidP="00010A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r w:rsidR="00010AF0">
              <w:rPr>
                <w:rFonts w:ascii="Calibri" w:hAnsi="Calibri" w:cs="Calibri"/>
                <w:color w:val="000000"/>
                <w:sz w:val="22"/>
                <w:szCs w:val="22"/>
              </w:rPr>
              <w:t>195,000</w:t>
            </w:r>
          </w:p>
        </w:tc>
        <w:tc>
          <w:tcPr>
            <w:tcW w:w="11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FD248E" w:rsidRPr="00FD248E" w:rsidRDefault="00010AF0" w:rsidP="00FD24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 w:rsidR="00FD248E"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1C41E9" w:rsidRPr="00FD248E" w:rsidTr="001C41E9">
        <w:trPr>
          <w:trHeight w:val="62"/>
        </w:trPr>
        <w:tc>
          <w:tcPr>
            <w:tcW w:w="151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FD248E" w:rsidP="00FD24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Biomass</w:t>
            </w: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FD248E" w:rsidP="00376F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  <w:r w:rsidR="00376F0F">
              <w:rPr>
                <w:rFonts w:ascii="Calibri" w:hAnsi="Calibri" w:cs="Calibri"/>
                <w:color w:val="000000"/>
                <w:sz w:val="22"/>
                <w:szCs w:val="22"/>
              </w:rPr>
              <w:t>3,541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FD248E" w:rsidP="00010A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  <w:r w:rsidR="00010AF0">
              <w:rPr>
                <w:rFonts w:ascii="Calibri" w:hAnsi="Calibri" w:cs="Calibri"/>
                <w:color w:val="000000"/>
                <w:sz w:val="22"/>
                <w:szCs w:val="22"/>
              </w:rPr>
              <w:t>1,069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13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FD248E" w:rsidP="00010A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010AF0">
              <w:rPr>
                <w:rFonts w:ascii="Calibri" w:hAnsi="Calibri" w:cs="Calibri"/>
                <w:color w:val="000000"/>
                <w:sz w:val="22"/>
                <w:szCs w:val="22"/>
              </w:rPr>
              <w:t>2,472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11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010AF0" w:rsidP="00010A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  <w:r w:rsidR="00FD248E"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1C41E9" w:rsidRPr="00FD248E" w:rsidTr="001C41E9">
        <w:trPr>
          <w:trHeight w:val="62"/>
        </w:trPr>
        <w:tc>
          <w:tcPr>
            <w:tcW w:w="151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248E" w:rsidRPr="00FD248E" w:rsidRDefault="00FD248E" w:rsidP="00FD24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Solar</w:t>
            </w: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248E" w:rsidRPr="00FD248E" w:rsidRDefault="00FD248E" w:rsidP="00376F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  <w:r w:rsidR="00376F0F">
              <w:rPr>
                <w:rFonts w:ascii="Calibri" w:hAnsi="Calibri" w:cs="Calibri"/>
                <w:color w:val="000000"/>
                <w:sz w:val="22"/>
                <w:szCs w:val="22"/>
              </w:rPr>
              <w:t>5,079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248E" w:rsidRPr="00FD248E" w:rsidRDefault="00FD248E" w:rsidP="00010A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1,3</w:t>
            </w:r>
            <w:r w:rsidR="00010AF0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13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248E" w:rsidRPr="00FD248E" w:rsidRDefault="00FD248E" w:rsidP="00010A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 w:rsidR="00010AF0">
              <w:rPr>
                <w:rFonts w:ascii="Calibri" w:hAnsi="Calibri" w:cs="Calibri"/>
                <w:color w:val="000000"/>
                <w:sz w:val="22"/>
                <w:szCs w:val="22"/>
              </w:rPr>
              <w:t>3,708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11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FD248E" w:rsidRPr="00FD248E" w:rsidRDefault="00CB2473" w:rsidP="00FD24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  <w:r w:rsidR="00FD248E"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1C41E9" w:rsidRPr="00FD248E" w:rsidTr="001C41E9">
        <w:trPr>
          <w:trHeight w:val="62"/>
        </w:trPr>
        <w:tc>
          <w:tcPr>
            <w:tcW w:w="151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376F0F" w:rsidRPr="00FD248E" w:rsidRDefault="00376F0F" w:rsidP="00FD24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Wind</w:t>
            </w: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376F0F" w:rsidRPr="00FD248E" w:rsidRDefault="00376F0F" w:rsidP="00376F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51,000</w:t>
            </w: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376F0F" w:rsidRPr="00FD248E" w:rsidRDefault="00376F0F" w:rsidP="00FD24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0</w:t>
            </w:r>
          </w:p>
        </w:tc>
        <w:tc>
          <w:tcPr>
            <w:tcW w:w="13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376F0F" w:rsidRPr="00FD248E" w:rsidRDefault="00376F0F" w:rsidP="00FD24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51,000</w:t>
            </w:r>
          </w:p>
        </w:tc>
        <w:tc>
          <w:tcPr>
            <w:tcW w:w="11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:rsidR="00376F0F" w:rsidRPr="00FD248E" w:rsidRDefault="00376F0F" w:rsidP="00FD24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1E9" w:rsidRPr="00FD248E" w:rsidTr="001C41E9">
        <w:trPr>
          <w:trHeight w:val="62"/>
        </w:trPr>
        <w:tc>
          <w:tcPr>
            <w:tcW w:w="151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FD248E" w:rsidP="00FD24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Total Zero CO2</w:t>
            </w: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FD248E" w:rsidP="00CB24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3</w:t>
            </w:r>
            <w:r w:rsidR="00CB2473">
              <w:rPr>
                <w:rFonts w:ascii="Calibri" w:hAnsi="Calibri" w:cs="Calibri"/>
                <w:color w:val="000000"/>
                <w:sz w:val="22"/>
                <w:szCs w:val="22"/>
              </w:rPr>
              <w:t>7,962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CB2473" w:rsidP="00CB24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33,530,000</w:t>
            </w:r>
            <w:r w:rsidR="00FD248E"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FD248E" w:rsidP="00CB24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  <w:r w:rsidR="00CB2473">
              <w:rPr>
                <w:rFonts w:ascii="Calibri" w:hAnsi="Calibri" w:cs="Calibri"/>
                <w:color w:val="000000"/>
                <w:sz w:val="22"/>
                <w:szCs w:val="22"/>
              </w:rPr>
              <w:t>4,432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11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CB2473" w:rsidP="00FD24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FD248E"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3%</w:t>
            </w:r>
          </w:p>
        </w:tc>
      </w:tr>
      <w:tr w:rsidR="001C41E9" w:rsidRPr="00FD248E" w:rsidTr="001C41E9">
        <w:trPr>
          <w:trHeight w:val="62"/>
        </w:trPr>
        <w:tc>
          <w:tcPr>
            <w:tcW w:w="151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248E" w:rsidRPr="00FD248E" w:rsidRDefault="00FD248E" w:rsidP="00FD24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248E" w:rsidRPr="00FD248E" w:rsidRDefault="00FD248E" w:rsidP="00FD248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248E" w:rsidRPr="00FD248E" w:rsidRDefault="00FD248E" w:rsidP="00FD248E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248E" w:rsidRPr="00FD248E" w:rsidRDefault="00FD248E" w:rsidP="00FD248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FD248E" w:rsidRPr="00FD248E" w:rsidRDefault="00FD248E" w:rsidP="00FD248E">
            <w:pPr>
              <w:rPr>
                <w:sz w:val="20"/>
                <w:szCs w:val="20"/>
              </w:rPr>
            </w:pPr>
          </w:p>
        </w:tc>
      </w:tr>
      <w:tr w:rsidR="001C41E9" w:rsidRPr="00FD248E" w:rsidTr="001C41E9">
        <w:trPr>
          <w:trHeight w:val="62"/>
        </w:trPr>
        <w:tc>
          <w:tcPr>
            <w:tcW w:w="151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FD248E" w:rsidP="00FD24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FD248E" w:rsidP="00376F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r w:rsidR="00376F0F">
              <w:rPr>
                <w:rFonts w:ascii="Calibri" w:hAnsi="Calibri" w:cs="Calibri"/>
                <w:color w:val="000000"/>
                <w:sz w:val="22"/>
                <w:szCs w:val="22"/>
              </w:rPr>
              <w:t>90,890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FD248E" w:rsidP="00010A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r w:rsidR="00010AF0">
              <w:rPr>
                <w:rFonts w:ascii="Calibri" w:hAnsi="Calibri" w:cs="Calibri"/>
                <w:color w:val="000000"/>
                <w:sz w:val="22"/>
                <w:szCs w:val="22"/>
              </w:rPr>
              <w:t>103,056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13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FD248E" w:rsidP="00CB24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(</w:t>
            </w:r>
            <w:r w:rsidR="00CB2473">
              <w:rPr>
                <w:rFonts w:ascii="Calibri" w:hAnsi="Calibri" w:cs="Calibri"/>
                <w:color w:val="000000"/>
                <w:sz w:val="22"/>
                <w:szCs w:val="22"/>
              </w:rPr>
              <w:t>12,166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,000)</w:t>
            </w:r>
          </w:p>
        </w:tc>
        <w:tc>
          <w:tcPr>
            <w:tcW w:w="11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FD248E" w:rsidP="00CB24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CB247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1C41E9" w:rsidRPr="00FD248E" w:rsidTr="001C41E9">
        <w:trPr>
          <w:trHeight w:val="62"/>
        </w:trPr>
        <w:tc>
          <w:tcPr>
            <w:tcW w:w="151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248E" w:rsidRPr="00FD248E" w:rsidRDefault="00FD248E" w:rsidP="00FD24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248E" w:rsidRPr="00FD248E" w:rsidRDefault="00FD248E" w:rsidP="00FD248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248E" w:rsidRPr="00FD248E" w:rsidRDefault="00FD248E" w:rsidP="00FD248E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248E" w:rsidRPr="00FD248E" w:rsidRDefault="00FD248E" w:rsidP="00FD248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FD248E" w:rsidRPr="00FD248E" w:rsidRDefault="00FD248E" w:rsidP="00FD248E">
            <w:pPr>
              <w:rPr>
                <w:sz w:val="20"/>
                <w:szCs w:val="20"/>
              </w:rPr>
            </w:pPr>
          </w:p>
        </w:tc>
      </w:tr>
      <w:tr w:rsidR="001C41E9" w:rsidRPr="00FD248E" w:rsidTr="001C41E9">
        <w:trPr>
          <w:trHeight w:val="9"/>
        </w:trPr>
        <w:tc>
          <w:tcPr>
            <w:tcW w:w="151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FD248E" w:rsidP="00FD24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Electric Demand</w:t>
            </w: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FD248E" w:rsidP="00376F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376F0F">
              <w:rPr>
                <w:rFonts w:ascii="Calibri" w:hAnsi="Calibri" w:cs="Calibri"/>
                <w:color w:val="000000"/>
                <w:sz w:val="22"/>
                <w:szCs w:val="22"/>
              </w:rPr>
              <w:t>30,108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010AF0" w:rsidP="00FD24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117,254</w:t>
            </w:r>
            <w:r w:rsidR="00FD248E"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3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FD248E" w:rsidP="00CB24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 w:rsidR="00CB2473">
              <w:rPr>
                <w:rFonts w:ascii="Calibri" w:hAnsi="Calibri" w:cs="Calibri"/>
                <w:color w:val="000000"/>
                <w:sz w:val="22"/>
                <w:szCs w:val="22"/>
              </w:rPr>
              <w:t>12,854</w:t>
            </w:r>
            <w:r w:rsidRPr="00FD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11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FD248E" w:rsidRPr="00FD248E" w:rsidRDefault="00CB2473" w:rsidP="00FD24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FD248E" w:rsidRPr="00FD248E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1C41E9" w:rsidRPr="00FD248E" w:rsidTr="001C41E9">
        <w:trPr>
          <w:trHeight w:val="269"/>
        </w:trPr>
        <w:tc>
          <w:tcPr>
            <w:tcW w:w="151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1C41E9" w:rsidRPr="00FD248E" w:rsidRDefault="001C41E9" w:rsidP="00FD24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Imports</w:t>
            </w: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1C41E9" w:rsidRPr="00FD248E" w:rsidRDefault="001C41E9" w:rsidP="001C41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39,218,000</w:t>
            </w:r>
          </w:p>
        </w:tc>
        <w:tc>
          <w:tcPr>
            <w:tcW w:w="141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1C41E9" w:rsidRDefault="001C41E9" w:rsidP="001C41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14,198,000</w:t>
            </w:r>
          </w:p>
        </w:tc>
        <w:tc>
          <w:tcPr>
            <w:tcW w:w="13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1C41E9" w:rsidRPr="00FD248E" w:rsidRDefault="001C41E9" w:rsidP="00CB24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:rsidR="001C41E9" w:rsidRDefault="001C41E9" w:rsidP="00FD24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66FA5" w:rsidRPr="0075122B" w:rsidRDefault="0075122B" w:rsidP="00822386">
      <w:r>
        <w:t xml:space="preserve">Source: </w:t>
      </w:r>
      <w:r w:rsidR="004248AE">
        <w:t>Y</w:t>
      </w:r>
      <w:r w:rsidR="00822386">
        <w:t>ear to date totals from US EIA Electric Power Monthly</w:t>
      </w:r>
      <w:r>
        <w:rPr>
          <w:vertAlign w:val="superscript"/>
        </w:rPr>
        <w:t>2</w:t>
      </w:r>
    </w:p>
    <w:p w:rsidR="00387A1E" w:rsidRDefault="00387A1E" w:rsidP="00387A1E">
      <w:pPr>
        <w:ind w:firstLine="360"/>
      </w:pPr>
      <w:r>
        <w:lastRenderedPageBreak/>
        <w:t xml:space="preserve">Virginia natural gas fired power plant generation fell 20%, losing against regional electric grid bids from non-carbon tax states with 10% lower cost as shown in the following </w:t>
      </w:r>
      <w:r w:rsidR="006C5F24">
        <w:t>chart</w:t>
      </w:r>
      <w:r>
        <w:t xml:space="preserve">.  </w:t>
      </w:r>
    </w:p>
    <w:p w:rsidR="006C5F24" w:rsidRDefault="006C5F24" w:rsidP="00387A1E">
      <w:pPr>
        <w:ind w:firstLine="360"/>
      </w:pPr>
    </w:p>
    <w:p w:rsidR="00387A1E" w:rsidRDefault="006C5F24" w:rsidP="00822386">
      <w:r w:rsidRPr="00983AFF">
        <w:rPr>
          <w:noProof/>
          <w:color w:val="000000"/>
          <w:sz w:val="30"/>
          <w:szCs w:val="30"/>
        </w:rPr>
        <w:drawing>
          <wp:inline distT="0" distB="0" distL="0" distR="0" wp14:anchorId="5753E972" wp14:editId="492FA15E">
            <wp:extent cx="5241290" cy="2865755"/>
            <wp:effectExtent l="0" t="0" r="0" b="0"/>
            <wp:docPr id="3" name="Picture 3" descr="PicDave.Electric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Dave.Electric.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22B" w:rsidRPr="00F77329" w:rsidRDefault="0075122B" w:rsidP="0075122B">
      <w:pPr>
        <w:rPr>
          <w:vertAlign w:val="superscript"/>
        </w:rPr>
      </w:pPr>
      <w:r w:rsidRPr="0075122B">
        <w:t>Source: power use from US EIA detailed state data</w:t>
      </w:r>
      <w:r>
        <w:rPr>
          <w:vertAlign w:val="superscript"/>
        </w:rPr>
        <w:t>3</w:t>
      </w:r>
      <w:r w:rsidRPr="0075122B">
        <w:t>, allowance prices from RGGI auction results</w:t>
      </w:r>
      <w:r w:rsidR="00F77329">
        <w:rPr>
          <w:vertAlign w:val="superscript"/>
        </w:rPr>
        <w:t>4</w:t>
      </w:r>
    </w:p>
    <w:p w:rsidR="006C5F24" w:rsidRDefault="006C5F24" w:rsidP="00822386"/>
    <w:p w:rsidR="006C5F24" w:rsidRPr="00E30086" w:rsidRDefault="006C5F24" w:rsidP="00822386">
      <w:r>
        <w:tab/>
        <w:t>Since RGGI auctions began in 2021 CO</w:t>
      </w:r>
      <w:r>
        <w:rPr>
          <w:vertAlign w:val="subscript"/>
        </w:rPr>
        <w:t>2</w:t>
      </w:r>
      <w:r>
        <w:t xml:space="preserve"> emissions have actually grown almost </w:t>
      </w:r>
      <w:r w:rsidR="00D22F25">
        <w:t>10</w:t>
      </w:r>
      <w:r>
        <w:t xml:space="preserve">%, or </w:t>
      </w:r>
      <w:r w:rsidR="00D22F25">
        <w:t>3.7</w:t>
      </w:r>
      <w:bookmarkStart w:id="0" w:name="_GoBack"/>
      <w:bookmarkEnd w:id="0"/>
      <w:r>
        <w:t xml:space="preserve"> million metric tons as shown in Table 2.</w:t>
      </w:r>
      <w:r w:rsidR="00E30086">
        <w:t xml:space="preserve">  </w:t>
      </w:r>
      <w:r w:rsidR="00E30086">
        <w:t>Importing power adds cost to cover the greater transmission distances and congestion a</w:t>
      </w:r>
      <w:r w:rsidR="00E30086">
        <w:t>t key transmission sub-stations, and results in a 10% loss of electricity for Virginia</w:t>
      </w:r>
      <w:r w:rsidR="00E30086">
        <w:rPr>
          <w:vertAlign w:val="superscript"/>
        </w:rPr>
        <w:t>7</w:t>
      </w:r>
      <w:r w:rsidR="00E30086">
        <w:t xml:space="preserve">.  </w:t>
      </w:r>
    </w:p>
    <w:p w:rsidR="006C5F24" w:rsidRDefault="006C5F24" w:rsidP="00822386"/>
    <w:p w:rsidR="006C5F24" w:rsidRDefault="006C5F24" w:rsidP="00822386">
      <w:r>
        <w:t>Table 2: CO</w:t>
      </w:r>
      <w:r>
        <w:rPr>
          <w:vertAlign w:val="subscript"/>
        </w:rPr>
        <w:t>2</w:t>
      </w:r>
      <w:r>
        <w:t xml:space="preserve"> Emissions 2020 to 2022 including Changes in Imported Power</w:t>
      </w:r>
      <w:r w:rsidR="001C41E9">
        <w:t>, million metric tons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2003"/>
        <w:gridCol w:w="3025"/>
        <w:gridCol w:w="723"/>
      </w:tblGrid>
      <w:tr w:rsidR="001C41E9" w:rsidTr="001C41E9">
        <w:tc>
          <w:tcPr>
            <w:tcW w:w="0" w:type="auto"/>
          </w:tcPr>
          <w:p w:rsidR="001C41E9" w:rsidRDefault="001C41E9" w:rsidP="00822386">
            <w:r>
              <w:t>Year</w:t>
            </w:r>
          </w:p>
        </w:tc>
        <w:tc>
          <w:tcPr>
            <w:tcW w:w="0" w:type="auto"/>
          </w:tcPr>
          <w:p w:rsidR="001C41E9" w:rsidRDefault="001C41E9" w:rsidP="00822386">
            <w:r>
              <w:t>In State Emissions</w:t>
            </w:r>
          </w:p>
        </w:tc>
        <w:tc>
          <w:tcPr>
            <w:tcW w:w="0" w:type="auto"/>
          </w:tcPr>
          <w:p w:rsidR="001C41E9" w:rsidRDefault="001C41E9" w:rsidP="00E30086">
            <w:r>
              <w:t>Imports</w:t>
            </w:r>
            <w:r w:rsidR="00E30086">
              <w:t xml:space="preserve"> + Transmission Loss</w:t>
            </w:r>
          </w:p>
        </w:tc>
        <w:tc>
          <w:tcPr>
            <w:tcW w:w="0" w:type="auto"/>
          </w:tcPr>
          <w:p w:rsidR="001C41E9" w:rsidRDefault="001C41E9" w:rsidP="00822386">
            <w:r>
              <w:t>Total</w:t>
            </w:r>
          </w:p>
        </w:tc>
      </w:tr>
      <w:tr w:rsidR="001C41E9" w:rsidTr="001C41E9">
        <w:tc>
          <w:tcPr>
            <w:tcW w:w="0" w:type="auto"/>
          </w:tcPr>
          <w:p w:rsidR="001C41E9" w:rsidRDefault="001C41E9" w:rsidP="00822386">
            <w:r>
              <w:t>2020</w:t>
            </w:r>
          </w:p>
        </w:tc>
        <w:tc>
          <w:tcPr>
            <w:tcW w:w="0" w:type="auto"/>
          </w:tcPr>
          <w:p w:rsidR="001C41E9" w:rsidRDefault="001C41E9" w:rsidP="00455DBD">
            <w:pPr>
              <w:jc w:val="center"/>
            </w:pPr>
            <w:r>
              <w:t>31.8</w:t>
            </w:r>
          </w:p>
        </w:tc>
        <w:tc>
          <w:tcPr>
            <w:tcW w:w="0" w:type="auto"/>
          </w:tcPr>
          <w:p w:rsidR="001C41E9" w:rsidRDefault="001C41E9" w:rsidP="00455DBD">
            <w:pPr>
              <w:jc w:val="center"/>
            </w:pPr>
            <w:r>
              <w:t>5.1</w:t>
            </w:r>
            <w:r w:rsidR="00E30086">
              <w:t xml:space="preserve"> + 0.5</w:t>
            </w:r>
          </w:p>
        </w:tc>
        <w:tc>
          <w:tcPr>
            <w:tcW w:w="0" w:type="auto"/>
          </w:tcPr>
          <w:p w:rsidR="001C41E9" w:rsidRDefault="001C41E9" w:rsidP="00E30086">
            <w:r>
              <w:t>3</w:t>
            </w:r>
            <w:r w:rsidR="00E30086">
              <w:t>7.4</w:t>
            </w:r>
          </w:p>
        </w:tc>
      </w:tr>
      <w:tr w:rsidR="001C41E9" w:rsidTr="001C41E9">
        <w:tc>
          <w:tcPr>
            <w:tcW w:w="0" w:type="auto"/>
          </w:tcPr>
          <w:p w:rsidR="001C41E9" w:rsidRDefault="001C41E9" w:rsidP="00822386">
            <w:r>
              <w:t>2022</w:t>
            </w:r>
          </w:p>
        </w:tc>
        <w:tc>
          <w:tcPr>
            <w:tcW w:w="0" w:type="auto"/>
          </w:tcPr>
          <w:p w:rsidR="001C41E9" w:rsidRDefault="001C41E9" w:rsidP="00455DBD">
            <w:pPr>
              <w:jc w:val="center"/>
            </w:pPr>
            <w:r>
              <w:t>25.2</w:t>
            </w:r>
          </w:p>
        </w:tc>
        <w:tc>
          <w:tcPr>
            <w:tcW w:w="0" w:type="auto"/>
          </w:tcPr>
          <w:p w:rsidR="001C41E9" w:rsidRDefault="001C41E9" w:rsidP="00455DBD">
            <w:pPr>
              <w:jc w:val="center"/>
            </w:pPr>
            <w:r>
              <w:t>14.5</w:t>
            </w:r>
            <w:r w:rsidR="00E30086">
              <w:t xml:space="preserve"> + 1.4</w:t>
            </w:r>
          </w:p>
        </w:tc>
        <w:tc>
          <w:tcPr>
            <w:tcW w:w="0" w:type="auto"/>
          </w:tcPr>
          <w:p w:rsidR="001C41E9" w:rsidRDefault="00E30086" w:rsidP="00822386">
            <w:r>
              <w:t>41.1</w:t>
            </w:r>
          </w:p>
        </w:tc>
      </w:tr>
    </w:tbl>
    <w:p w:rsidR="006C5F24" w:rsidRPr="00F77329" w:rsidRDefault="001C41E9" w:rsidP="00822386">
      <w:r>
        <w:t>Sources: US EIA detailed state data 2020, RGGI COATs</w:t>
      </w:r>
      <w:r w:rsidR="00D36660">
        <w:t xml:space="preserve"> 2022</w:t>
      </w:r>
      <w:r w:rsidR="00F77329">
        <w:rPr>
          <w:vertAlign w:val="superscript"/>
        </w:rPr>
        <w:t>5</w:t>
      </w:r>
      <w:r>
        <w:t>, PJM Systems mix</w:t>
      </w:r>
      <w:r w:rsidR="00F77329">
        <w:rPr>
          <w:vertAlign w:val="superscript"/>
        </w:rPr>
        <w:t>6</w:t>
      </w:r>
    </w:p>
    <w:p w:rsidR="006C5F24" w:rsidRPr="006C5F24" w:rsidRDefault="006C5F24" w:rsidP="00822386"/>
    <w:p w:rsidR="00A37ECB" w:rsidRDefault="00166FA5" w:rsidP="00155BA9">
      <w:pPr>
        <w:ind w:firstLine="360"/>
      </w:pPr>
      <w:r w:rsidRPr="00A301A8">
        <w:t>The RGGI program requires power plants to buy emission allowances for each ton of CO</w:t>
      </w:r>
      <w:r w:rsidRPr="00A301A8">
        <w:rPr>
          <w:vertAlign w:val="subscript"/>
        </w:rPr>
        <w:t xml:space="preserve">2 </w:t>
      </w:r>
      <w:r w:rsidRPr="00A301A8">
        <w:t xml:space="preserve">emissions with allowances </w:t>
      </w:r>
      <w:r w:rsidR="00D36660">
        <w:t>purchased</w:t>
      </w:r>
      <w:r w:rsidRPr="00A301A8">
        <w:t xml:space="preserve"> in quarterly auctions.  Speculators can participate and potentially resell allowances at higher prices.  </w:t>
      </w:r>
      <w:r w:rsidR="00155BA9">
        <w:t xml:space="preserve">Virginia </w:t>
      </w:r>
      <w:r>
        <w:t>power plants</w:t>
      </w:r>
      <w:r w:rsidR="00155BA9">
        <w:t xml:space="preserve"> </w:t>
      </w:r>
      <w:r w:rsidR="00F46F61">
        <w:t>los</w:t>
      </w:r>
      <w:r w:rsidR="002C2EE1">
        <w:t>t</w:t>
      </w:r>
      <w:r w:rsidR="00155BA9">
        <w:t xml:space="preserve"> about $</w:t>
      </w:r>
      <w:r w:rsidR="000A20DB">
        <w:t>840</w:t>
      </w:r>
      <w:r w:rsidR="00155BA9">
        <w:t xml:space="preserve"> million in generation </w:t>
      </w:r>
      <w:r w:rsidR="00A37ECB">
        <w:t>revenue</w:t>
      </w:r>
      <w:r w:rsidR="00F46F61">
        <w:t xml:space="preserve"> in 202</w:t>
      </w:r>
      <w:r w:rsidR="002C2EE1">
        <w:t>2</w:t>
      </w:r>
      <w:r>
        <w:t xml:space="preserve"> (</w:t>
      </w:r>
      <w:r w:rsidR="002C2EE1">
        <w:t>12</w:t>
      </w:r>
      <w:r>
        <w:t>.</w:t>
      </w:r>
      <w:r w:rsidR="002C2EE1">
        <w:t>2</w:t>
      </w:r>
      <w:r>
        <w:t xml:space="preserve"> million lost MWh annualized @ $</w:t>
      </w:r>
      <w:r w:rsidR="000A20DB">
        <w:t>69</w:t>
      </w:r>
      <w:r>
        <w:t>/MWh)</w:t>
      </w:r>
      <w:r w:rsidR="00155BA9">
        <w:t xml:space="preserve">.  </w:t>
      </w:r>
      <w:r w:rsidR="0064610C">
        <w:t xml:space="preserve"> </w:t>
      </w:r>
      <w:r w:rsidR="0075065D">
        <w:t xml:space="preserve">The loss of in state generation will continue </w:t>
      </w:r>
      <w:r w:rsidR="00A37ECB">
        <w:t xml:space="preserve">to rise </w:t>
      </w:r>
      <w:r w:rsidR="0075065D">
        <w:t>as RGGI allowance prices rise.  A study of the RGGI state of Delaware showed natural gas generation could fall to zero at a $16/ton allowance price</w:t>
      </w:r>
      <w:r w:rsidR="00A37ECB">
        <w:t xml:space="preserve"> (see graph below).</w:t>
      </w:r>
      <w:r w:rsidR="00EA25D4">
        <w:t xml:space="preserve">  Generation will likely shift out of Virginia much faster than new wind and solar generation can be built.</w:t>
      </w:r>
      <w:r w:rsidR="000A20DB">
        <w:t xml:space="preserve">  For example natural gas generation fell by 12.3 million MWhs from 2020 to 2022, but solar and wind only increased by 3.8 million MWhs.</w:t>
      </w:r>
      <w:r w:rsidR="00387A1E">
        <w:t xml:space="preserve">  </w:t>
      </w:r>
    </w:p>
    <w:p w:rsidR="0024312D" w:rsidRDefault="0024312D" w:rsidP="00155BA9">
      <w:pPr>
        <w:ind w:firstLine="360"/>
      </w:pPr>
    </w:p>
    <w:p w:rsidR="00A37ECB" w:rsidRDefault="00A37ECB" w:rsidP="00155BA9">
      <w:pPr>
        <w:ind w:firstLine="360"/>
      </w:pPr>
    </w:p>
    <w:p w:rsidR="00A37ECB" w:rsidRDefault="00A37ECB" w:rsidP="00E0533C">
      <w:pPr>
        <w:ind w:firstLine="360"/>
      </w:pPr>
    </w:p>
    <w:p w:rsidR="00E0533C" w:rsidRDefault="00FA2AD9" w:rsidP="00E0533C">
      <w:pPr>
        <w:ind w:firstLine="360"/>
      </w:pPr>
      <w:r w:rsidRPr="00A301A8">
        <w:t xml:space="preserve">The first question to consider is how </w:t>
      </w:r>
      <w:r w:rsidR="00155BA9">
        <w:t>Virginia</w:t>
      </w:r>
      <w:r w:rsidRPr="00A301A8">
        <w:t xml:space="preserve"> emissions reductions compare to the RGGI state</w:t>
      </w:r>
      <w:r w:rsidR="00E0533C">
        <w:t>s</w:t>
      </w:r>
      <w:r w:rsidR="00A655FA">
        <w:t xml:space="preserve"> from 2007 to 201</w:t>
      </w:r>
      <w:r w:rsidR="00703FC0">
        <w:t>9</w:t>
      </w:r>
      <w:r w:rsidR="00E0533C">
        <w:t>:</w:t>
      </w:r>
    </w:p>
    <w:p w:rsidR="00FA2AD9" w:rsidRPr="00A301A8" w:rsidRDefault="007A302E" w:rsidP="00E0533C">
      <w:pPr>
        <w:pStyle w:val="ListParagraph"/>
        <w:numPr>
          <w:ilvl w:val="0"/>
          <w:numId w:val="9"/>
        </w:numPr>
      </w:pPr>
      <w:r w:rsidRPr="00A301A8">
        <w:t>P</w:t>
      </w:r>
      <w:r w:rsidR="00FA2AD9" w:rsidRPr="00A301A8">
        <w:t xml:space="preserve">er capita emissions from </w:t>
      </w:r>
      <w:r w:rsidR="00155BA9">
        <w:t>Virginia</w:t>
      </w:r>
      <w:r w:rsidR="00E0533C">
        <w:t xml:space="preserve"> </w:t>
      </w:r>
      <w:r w:rsidR="00FA2AD9" w:rsidRPr="00A301A8">
        <w:t xml:space="preserve">electric power plants </w:t>
      </w:r>
      <w:r w:rsidR="000E3D86">
        <w:t>fell</w:t>
      </w:r>
      <w:r w:rsidR="00FA2AD9" w:rsidRPr="00A301A8">
        <w:t xml:space="preserve"> </w:t>
      </w:r>
      <w:r w:rsidR="00A655FA">
        <w:t>4</w:t>
      </w:r>
      <w:r w:rsidR="00155BA9">
        <w:t>6</w:t>
      </w:r>
      <w:r w:rsidR="00FA2AD9" w:rsidRPr="00A301A8">
        <w:t xml:space="preserve"> percent</w:t>
      </w:r>
      <w:r w:rsidR="00E15851">
        <w:rPr>
          <w:vertAlign w:val="superscript"/>
        </w:rPr>
        <w:t>3</w:t>
      </w:r>
      <w:r w:rsidR="00FA2AD9" w:rsidRPr="00A301A8">
        <w:t xml:space="preserve">.  RGGI states fell </w:t>
      </w:r>
      <w:r w:rsidR="00A655FA">
        <w:t>4</w:t>
      </w:r>
      <w:r w:rsidR="00155BA9">
        <w:t>0</w:t>
      </w:r>
      <w:r w:rsidR="00FA2AD9" w:rsidRPr="00A301A8">
        <w:t xml:space="preserve"> percent after adjusting for </w:t>
      </w:r>
      <w:r w:rsidR="00A655FA">
        <w:t>the emissions shifted elsewhere by importing more electricity from other states</w:t>
      </w:r>
      <w:r w:rsidR="00155BA9">
        <w:t>, and industrial business lost to other states</w:t>
      </w:r>
    </w:p>
    <w:p w:rsidR="00155BA9" w:rsidRDefault="00A655FA" w:rsidP="001C0F9F">
      <w:pPr>
        <w:pStyle w:val="ListParagraph"/>
        <w:numPr>
          <w:ilvl w:val="0"/>
          <w:numId w:val="9"/>
        </w:numPr>
      </w:pPr>
      <w:r>
        <w:t>T</w:t>
      </w:r>
      <w:r w:rsidR="00FA2AD9" w:rsidRPr="00A301A8">
        <w:t>otal</w:t>
      </w:r>
      <w:r w:rsidR="00E169D3">
        <w:t xml:space="preserve"> </w:t>
      </w:r>
      <w:r w:rsidR="00155BA9">
        <w:t>Virginia</w:t>
      </w:r>
      <w:r w:rsidR="00E169D3">
        <w:t xml:space="preserve"> power plant</w:t>
      </w:r>
      <w:r w:rsidR="00FA2AD9" w:rsidRPr="00A301A8">
        <w:t xml:space="preserve"> emissions fell </w:t>
      </w:r>
      <w:r w:rsidR="00155BA9">
        <w:t>17.5</w:t>
      </w:r>
      <w:r w:rsidR="00FA2AD9" w:rsidRPr="00A301A8">
        <w:t xml:space="preserve"> million tons</w:t>
      </w:r>
      <w:r w:rsidR="00F77329">
        <w:rPr>
          <w:vertAlign w:val="superscript"/>
        </w:rPr>
        <w:t>7</w:t>
      </w:r>
      <w:r w:rsidR="006C5F24">
        <w:t>, and fell another 1.5 million tons in 2020 before the RGGI auctions started</w:t>
      </w:r>
    </w:p>
    <w:p w:rsidR="00FA2AD9" w:rsidRPr="00A301A8" w:rsidRDefault="007A302E" w:rsidP="001C0F9F">
      <w:pPr>
        <w:pStyle w:val="ListParagraph"/>
        <w:numPr>
          <w:ilvl w:val="0"/>
          <w:numId w:val="9"/>
        </w:numPr>
      </w:pPr>
      <w:r w:rsidRPr="00A301A8">
        <w:t xml:space="preserve">The </w:t>
      </w:r>
      <w:r w:rsidR="00155BA9">
        <w:t>Virginia</w:t>
      </w:r>
      <w:r w:rsidR="00A655FA">
        <w:t xml:space="preserve"> </w:t>
      </w:r>
      <w:r w:rsidRPr="00A301A8">
        <w:t>g</w:t>
      </w:r>
      <w:r w:rsidR="00FA2AD9" w:rsidRPr="00A301A8">
        <w:t xml:space="preserve">eneration mix changed by reducing coal-fired generation by </w:t>
      </w:r>
      <w:r w:rsidR="00311549">
        <w:t>42</w:t>
      </w:r>
      <w:r w:rsidR="00FA2AD9" w:rsidRPr="00A301A8">
        <w:t xml:space="preserve"> percentage points</w:t>
      </w:r>
      <w:r w:rsidR="00F77329">
        <w:rPr>
          <w:vertAlign w:val="superscript"/>
        </w:rPr>
        <w:t>7</w:t>
      </w:r>
      <w:r w:rsidR="00FA2AD9" w:rsidRPr="00A301A8">
        <w:t xml:space="preserve"> compared to RGGI states 16</w:t>
      </w:r>
      <w:r w:rsidR="00B43326" w:rsidRPr="00A301A8">
        <w:t xml:space="preserve">.  Natural gas generation increased by </w:t>
      </w:r>
      <w:r w:rsidR="00311549">
        <w:t>43</w:t>
      </w:r>
      <w:r w:rsidR="00B43326" w:rsidRPr="00A301A8">
        <w:t xml:space="preserve"> percentage points, 10 in RGGI states.  </w:t>
      </w:r>
      <w:r w:rsidR="00311549">
        <w:t xml:space="preserve">RGGI states </w:t>
      </w:r>
      <w:r w:rsidR="00B43326" w:rsidRPr="00A301A8">
        <w:t>added 5 percentage points of zero emission resources</w:t>
      </w:r>
      <w:r w:rsidR="00311549">
        <w:t xml:space="preserve">, and Virginia saw no change as solar added 4 percentage points replacing the same amount of nuclear </w:t>
      </w:r>
      <w:r w:rsidR="00EA25D4">
        <w:t>and hydro power</w:t>
      </w:r>
      <w:r w:rsidR="00311549">
        <w:t>.</w:t>
      </w:r>
    </w:p>
    <w:p w:rsidR="00B43326" w:rsidRPr="00A301A8" w:rsidRDefault="00B43326" w:rsidP="00B43326"/>
    <w:p w:rsidR="00B43326" w:rsidRDefault="00B43326" w:rsidP="00B43326">
      <w:pPr>
        <w:ind w:firstLine="360"/>
      </w:pPr>
      <w:r w:rsidRPr="00A301A8">
        <w:t xml:space="preserve">It is no surprise </w:t>
      </w:r>
      <w:r w:rsidR="00311549">
        <w:t>Virginia</w:t>
      </w:r>
      <w:r w:rsidRPr="00A301A8">
        <w:t xml:space="preserve"> had </w:t>
      </w:r>
      <w:r w:rsidR="00311549">
        <w:t>a higher rate of</w:t>
      </w:r>
      <w:r w:rsidRPr="00A301A8">
        <w:t xml:space="preserve"> reduction in emissions </w:t>
      </w:r>
      <w:r w:rsidR="00311549">
        <w:t>than</w:t>
      </w:r>
      <w:r w:rsidRPr="00A301A8">
        <w:t xml:space="preserve"> RGGI states as that was </w:t>
      </w:r>
      <w:r w:rsidR="00311549">
        <w:t xml:space="preserve">similar to </w:t>
      </w:r>
      <w:r w:rsidRPr="00A301A8">
        <w:t xml:space="preserve">the conclusion of my </w:t>
      </w:r>
      <w:r w:rsidR="00A655FA">
        <w:t>peer reviewed study published in the Cato Journal, “A Review of the Regional Greenhouse Gas Initiative”</w:t>
      </w:r>
      <w:r w:rsidR="008B1C3F">
        <w:rPr>
          <w:vertAlign w:val="superscript"/>
        </w:rPr>
        <w:t>1</w:t>
      </w:r>
      <w:r w:rsidR="00A56A98">
        <w:t>.</w:t>
      </w:r>
      <w:r w:rsidRPr="00A301A8">
        <w:t xml:space="preserve"> RGGI had essentially no impact on emissions reductions compared to five other states who had similar energy policies except for RGGI.  </w:t>
      </w:r>
      <w:r w:rsidR="00A655FA">
        <w:t>Consequently, t</w:t>
      </w:r>
      <w:r w:rsidRPr="00A301A8">
        <w:t xml:space="preserve">here will </w:t>
      </w:r>
      <w:r w:rsidR="00311549">
        <w:t xml:space="preserve">likely </w:t>
      </w:r>
      <w:r w:rsidRPr="00A301A8">
        <w:t>be no environmental benefits fro</w:t>
      </w:r>
      <w:r w:rsidR="00F2331C" w:rsidRPr="00A301A8">
        <w:t>m</w:t>
      </w:r>
      <w:r w:rsidRPr="00A301A8">
        <w:t xml:space="preserve"> </w:t>
      </w:r>
      <w:r w:rsidR="00311549">
        <w:t>Virginia</w:t>
      </w:r>
      <w:r w:rsidRPr="00A301A8">
        <w:t xml:space="preserve"> joining RGGI.</w:t>
      </w:r>
    </w:p>
    <w:p w:rsidR="00B431AB" w:rsidRDefault="00B431AB" w:rsidP="00B43326">
      <w:pPr>
        <w:ind w:firstLine="360"/>
      </w:pPr>
    </w:p>
    <w:p w:rsidR="00B431AB" w:rsidRDefault="00B431AB" w:rsidP="00B431AB">
      <w:pPr>
        <w:ind w:firstLine="360"/>
      </w:pPr>
      <w:r>
        <w:t xml:space="preserve"> Well-paying jobs at the power plants would be lost, and that has secondary impacts on the economy.  The direct </w:t>
      </w:r>
      <w:r w:rsidR="00467196">
        <w:t xml:space="preserve">residential </w:t>
      </w:r>
      <w:r>
        <w:t xml:space="preserve">cost of RGGI is </w:t>
      </w:r>
      <w:r w:rsidR="00A56A98">
        <w:t xml:space="preserve">currently </w:t>
      </w:r>
      <w:r>
        <w:t>about $</w:t>
      </w:r>
      <w:r w:rsidR="00467196">
        <w:t>61</w:t>
      </w:r>
      <w:r>
        <w:t>/year based on a Dominion Power rate increase request to the utility commission of $4.</w:t>
      </w:r>
      <w:r w:rsidR="00467196">
        <w:t>64</w:t>
      </w:r>
      <w:r>
        <w:t>/Megawatt-hour</w:t>
      </w:r>
      <w:r w:rsidR="00321063">
        <w:rPr>
          <w:vertAlign w:val="superscript"/>
        </w:rPr>
        <w:t>8</w:t>
      </w:r>
      <w:r>
        <w:t>, and an average monthly usage of 1.1 megawatt-hour per month</w:t>
      </w:r>
      <w:r w:rsidR="00321063">
        <w:rPr>
          <w:vertAlign w:val="superscript"/>
        </w:rPr>
        <w:t>9</w:t>
      </w:r>
      <w:r>
        <w:t xml:space="preserve">.  A large industrial customer using 6,000 Megawatt-hours a month in a utility commission example </w:t>
      </w:r>
      <w:r w:rsidR="00467196">
        <w:t>paid</w:t>
      </w:r>
      <w:r>
        <w:t xml:space="preserve"> about $3</w:t>
      </w:r>
      <w:r w:rsidR="00467196">
        <w:t>34</w:t>
      </w:r>
      <w:r>
        <w:t xml:space="preserve">,000/year in 2022 for RGGI.    </w:t>
      </w:r>
    </w:p>
    <w:p w:rsidR="00B431AB" w:rsidRDefault="00B431AB" w:rsidP="00B431AB">
      <w:pPr>
        <w:ind w:firstLine="360"/>
      </w:pPr>
    </w:p>
    <w:p w:rsidR="00B431AB" w:rsidRPr="00A301A8" w:rsidRDefault="00B431AB" w:rsidP="00B43326">
      <w:pPr>
        <w:ind w:firstLine="360"/>
      </w:pPr>
      <w:r>
        <w:t>Allowance prices averaged $</w:t>
      </w:r>
      <w:r w:rsidR="00C53D13">
        <w:t>1</w:t>
      </w:r>
      <w:r w:rsidR="00735BF0">
        <w:t>3.46</w:t>
      </w:r>
      <w:r>
        <w:t>/ton in 202</w:t>
      </w:r>
      <w:r w:rsidR="00735BF0">
        <w:t>2</w:t>
      </w:r>
      <w:r>
        <w:t xml:space="preserve"> and ended the year at $13</w:t>
      </w:r>
      <w:r w:rsidR="00321063">
        <w:rPr>
          <w:vertAlign w:val="superscript"/>
        </w:rPr>
        <w:t>4</w:t>
      </w:r>
      <w:r>
        <w:t>, and resulted in $128 million in costs added to electric bills. RGGI, Inc. itself shows prices rising to as much as $24/ton</w:t>
      </w:r>
      <w:r w:rsidR="00321063">
        <w:rPr>
          <w:vertAlign w:val="superscript"/>
        </w:rPr>
        <w:t>10</w:t>
      </w:r>
      <w:r>
        <w:t xml:space="preserve"> by 2030.  RGGI costs may average $250 million a year through 2030</w:t>
      </w:r>
      <w:r w:rsidR="001870F8">
        <w:t xml:space="preserve"> based on the RGGI upper end forecast</w:t>
      </w:r>
      <w:r>
        <w:t>, or $2.5 billion over 10 years.</w:t>
      </w:r>
      <w:r w:rsidR="00A56A98">
        <w:t xml:space="preserve">  </w:t>
      </w:r>
      <w:r w:rsidR="007D0E65">
        <w:t xml:space="preserve">RGGI, Inc. </w:t>
      </w:r>
      <w:r w:rsidR="00756CBC">
        <w:t>raised</w:t>
      </w:r>
      <w:r w:rsidR="007D0E65">
        <w:t xml:space="preserve"> </w:t>
      </w:r>
      <w:r w:rsidR="00756CBC">
        <w:t>$284 million in RGGI auction revenue which was added to electric bills, and claims to have saved $112 million on electric bills by investing in energy efficiency, renewable energy, and greenhouse gas abatement</w:t>
      </w:r>
      <w:r w:rsidR="00321063">
        <w:rPr>
          <w:vertAlign w:val="superscript"/>
        </w:rPr>
        <w:t>11</w:t>
      </w:r>
      <w:r w:rsidR="00756CBC">
        <w:t>.</w:t>
      </w:r>
      <w:r w:rsidR="008A3E25">
        <w:t xml:space="preserve">  Our analysis</w:t>
      </w:r>
      <w:r w:rsidR="00F57A21">
        <w:rPr>
          <w:vertAlign w:val="superscript"/>
        </w:rPr>
        <w:t>1</w:t>
      </w:r>
      <w:r w:rsidR="008A3E25">
        <w:t xml:space="preserve"> showed the savings estimates are questionable as no robust auditing has been done on the supposed savings, or of how money was spent.  For</w:t>
      </w:r>
      <w:r w:rsidR="0062076C">
        <w:t xml:space="preserve"> </w:t>
      </w:r>
      <w:r w:rsidR="008A3E25">
        <w:t xml:space="preserve">example the RGGI report shows Connecticut invested money, but in actuality the state </w:t>
      </w:r>
      <w:r w:rsidR="0062076C">
        <w:t xml:space="preserve">directed RGGI revenue to </w:t>
      </w:r>
      <w:r w:rsidR="00F57A21">
        <w:t>its</w:t>
      </w:r>
      <w:r w:rsidR="0062076C">
        <w:t xml:space="preserve"> general fund.  In any case the supposed savings were insignificant.  Energy efficiency </w:t>
      </w:r>
      <w:r w:rsidR="00F57A21">
        <w:t xml:space="preserve">and renewable energy savings </w:t>
      </w:r>
      <w:r w:rsidR="0062076C">
        <w:t>represented 0.0</w:t>
      </w:r>
      <w:r w:rsidR="00F57A21">
        <w:t>9</w:t>
      </w:r>
      <w:r w:rsidR="0062076C">
        <w:t xml:space="preserve">% of </w:t>
      </w:r>
      <w:r w:rsidR="00F57A21">
        <w:t>RGGI state e</w:t>
      </w:r>
      <w:r w:rsidR="0062076C">
        <w:t xml:space="preserve">lectric generation in 2019. </w:t>
      </w:r>
    </w:p>
    <w:p w:rsidR="00C752CC" w:rsidRPr="00A301A8" w:rsidRDefault="00C752CC" w:rsidP="00B43326">
      <w:pPr>
        <w:ind w:firstLine="360"/>
      </w:pPr>
    </w:p>
    <w:p w:rsidR="006F65E9" w:rsidRDefault="00727479" w:rsidP="00727479">
      <w:r>
        <w:rPr>
          <w:rFonts w:ascii="Calibri" w:hAnsi="Calibri" w:cs="Calibri"/>
        </w:rPr>
        <w:tab/>
      </w:r>
      <w:r w:rsidRPr="00727479">
        <w:t>Joining RGGI require</w:t>
      </w:r>
      <w:r w:rsidR="00735BF0">
        <w:t>s</w:t>
      </w:r>
      <w:r w:rsidRPr="00727479">
        <w:t xml:space="preserve"> electric generators to reduce CO</w:t>
      </w:r>
      <w:r w:rsidRPr="00727479">
        <w:rPr>
          <w:vertAlign w:val="subscript"/>
        </w:rPr>
        <w:t>2</w:t>
      </w:r>
      <w:r w:rsidRPr="00727479">
        <w:t xml:space="preserve"> emissions</w:t>
      </w:r>
      <w:r w:rsidR="00E24182">
        <w:t xml:space="preserve"> 65% from 2007 levels, or </w:t>
      </w:r>
      <w:r w:rsidR="00971978">
        <w:t xml:space="preserve">an additional </w:t>
      </w:r>
      <w:r w:rsidR="0089284E">
        <w:t>13 million tons</w:t>
      </w:r>
      <w:r w:rsidRPr="00727479">
        <w:t xml:space="preserve"> by 2030</w:t>
      </w:r>
      <w:r w:rsidR="0089284E">
        <w:t xml:space="preserve">.  In </w:t>
      </w:r>
      <w:r w:rsidR="00B06CEE">
        <w:t>202</w:t>
      </w:r>
      <w:r w:rsidR="00735BF0">
        <w:t>2</w:t>
      </w:r>
      <w:r w:rsidR="00B06CEE">
        <w:t xml:space="preserve"> </w:t>
      </w:r>
      <w:r w:rsidR="0089284E">
        <w:t xml:space="preserve">coal </w:t>
      </w:r>
      <w:r w:rsidR="00B06CEE">
        <w:t>fired power plants emitted 4.5</w:t>
      </w:r>
      <w:r w:rsidR="0000637A">
        <w:t xml:space="preserve"> million tons of CO</w:t>
      </w:r>
      <w:r w:rsidR="0000637A">
        <w:rPr>
          <w:vertAlign w:val="subscript"/>
        </w:rPr>
        <w:t>2</w:t>
      </w:r>
      <w:r w:rsidR="0000637A">
        <w:t xml:space="preserve">. </w:t>
      </w:r>
      <w:r w:rsidR="00E24182">
        <w:t xml:space="preserve"> </w:t>
      </w:r>
      <w:r w:rsidR="00D622B8">
        <w:t>Closing</w:t>
      </w:r>
      <w:r w:rsidRPr="00727479">
        <w:t xml:space="preserve"> those power plants </w:t>
      </w:r>
      <w:r w:rsidR="00D622B8">
        <w:t xml:space="preserve">would meet </w:t>
      </w:r>
      <w:r w:rsidR="00B06CEE">
        <w:t>35</w:t>
      </w:r>
      <w:r w:rsidR="0000637A">
        <w:t xml:space="preserve">% of </w:t>
      </w:r>
      <w:r w:rsidR="00D622B8">
        <w:t>the</w:t>
      </w:r>
      <w:r w:rsidRPr="00727479">
        <w:t xml:space="preserve"> emissions</w:t>
      </w:r>
      <w:r w:rsidR="00D622B8">
        <w:t xml:space="preserve"> goal</w:t>
      </w:r>
      <w:r w:rsidRPr="00727479">
        <w:t>.</w:t>
      </w:r>
      <w:r w:rsidR="00CF4366">
        <w:t xml:space="preserve"> </w:t>
      </w:r>
      <w:r w:rsidRPr="00727479">
        <w:t xml:space="preserve"> </w:t>
      </w:r>
      <w:r w:rsidR="00A21A08">
        <w:t>Electric generation would fall 3.3 million Megawatt-hours</w:t>
      </w:r>
      <w:r w:rsidR="00971978">
        <w:t>.  That is lost power plant generation</w:t>
      </w:r>
      <w:r w:rsidR="00A21A08">
        <w:t xml:space="preserve"> worth about $</w:t>
      </w:r>
      <w:r w:rsidR="000A20DB">
        <w:t>228</w:t>
      </w:r>
      <w:r w:rsidR="00A21A08">
        <w:t xml:space="preserve"> million </w:t>
      </w:r>
      <w:r w:rsidR="00971978">
        <w:t xml:space="preserve">(3.3 million MWh @ </w:t>
      </w:r>
      <w:r w:rsidR="00971978">
        <w:lastRenderedPageBreak/>
        <w:t>$</w:t>
      </w:r>
      <w:r w:rsidR="000A20DB">
        <w:t>69</w:t>
      </w:r>
      <w:r w:rsidR="00971978">
        <w:t>/MWh)</w:t>
      </w:r>
      <w:r w:rsidR="00A21A08">
        <w:t xml:space="preserve">.  </w:t>
      </w:r>
      <w:r w:rsidR="00D622B8">
        <w:t xml:space="preserve">Decommissioning costs </w:t>
      </w:r>
      <w:r w:rsidR="00971978">
        <w:t xml:space="preserve">for those power plants </w:t>
      </w:r>
      <w:r w:rsidR="00D622B8">
        <w:t>would be about $</w:t>
      </w:r>
      <w:r w:rsidR="00B06CEE">
        <w:t>325 million</w:t>
      </w:r>
      <w:r w:rsidR="00321063">
        <w:rPr>
          <w:vertAlign w:val="superscript"/>
        </w:rPr>
        <w:t>12</w:t>
      </w:r>
      <w:r w:rsidRPr="00727479">
        <w:t>.</w:t>
      </w:r>
      <w:r w:rsidR="00D622B8">
        <w:t xml:space="preserve">  </w:t>
      </w:r>
      <w:r w:rsidRPr="00727479">
        <w:t xml:space="preserve">Coal production in </w:t>
      </w:r>
      <w:r w:rsidR="00F46F61">
        <w:t>Virginia would fall about 1.8 million tons a year currently worth $90 million a year</w:t>
      </w:r>
      <w:r w:rsidR="00321063">
        <w:rPr>
          <w:vertAlign w:val="superscript"/>
        </w:rPr>
        <w:t>13</w:t>
      </w:r>
      <w:r w:rsidR="006D1EE9">
        <w:t xml:space="preserve"> at $50/ton</w:t>
      </w:r>
      <w:r w:rsidR="00F46F61">
        <w:t xml:space="preserve">. </w:t>
      </w:r>
    </w:p>
    <w:p w:rsidR="00600D85" w:rsidRDefault="00600D85" w:rsidP="00727479"/>
    <w:p w:rsidR="009223AF" w:rsidRDefault="00357E1D" w:rsidP="006F65E9">
      <w:pPr>
        <w:ind w:firstLine="720"/>
      </w:pPr>
      <w:r>
        <w:t>The balance of the emission reduction would have to come from natural gas fired plants reducing generation by about 19.3 million Megawatt-hours</w:t>
      </w:r>
      <w:r w:rsidR="00684F7B">
        <w:t xml:space="preserve">. Lost generation would be worth </w:t>
      </w:r>
      <w:r w:rsidR="000A20DB">
        <w:t>about $1,330</w:t>
      </w:r>
      <w:r w:rsidR="00A21A08">
        <w:t xml:space="preserve"> million a year by 2030</w:t>
      </w:r>
      <w:r w:rsidR="000A20DB">
        <w:t xml:space="preserve"> (19.3 million MWh @ $69</w:t>
      </w:r>
      <w:r w:rsidR="00684F7B">
        <w:t>/MWh)</w:t>
      </w:r>
      <w:r w:rsidR="00A21A08">
        <w:t>.</w:t>
      </w:r>
      <w:r w:rsidR="00567C07">
        <w:t xml:space="preserve"> Virginia produces enough natural gas to generate 14.7 million megawatt-hours of natural gas that should be worth an average of $500,000 a year a year by 2030</w:t>
      </w:r>
      <w:r w:rsidR="00321063">
        <w:rPr>
          <w:vertAlign w:val="superscript"/>
        </w:rPr>
        <w:t>13</w:t>
      </w:r>
      <w:r w:rsidR="00567C07">
        <w:t>.</w:t>
      </w:r>
      <w:r w:rsidR="00B22EF1">
        <w:t xml:space="preserve">  By 2030 35% of Virginia natural gas generation would have to close with a decommissioning cost of $83 million</w:t>
      </w:r>
      <w:r w:rsidR="00321063">
        <w:rPr>
          <w:vertAlign w:val="superscript"/>
        </w:rPr>
        <w:t>12</w:t>
      </w:r>
      <w:r w:rsidR="00B22EF1">
        <w:t>.</w:t>
      </w:r>
      <w:r w:rsidR="009223AF">
        <w:t xml:space="preserve">  </w:t>
      </w:r>
      <w:r w:rsidR="00600D85">
        <w:t xml:space="preserve"> </w:t>
      </w:r>
    </w:p>
    <w:p w:rsidR="009223AF" w:rsidRDefault="009223AF" w:rsidP="009223AF">
      <w:pPr>
        <w:ind w:firstLine="720"/>
      </w:pPr>
    </w:p>
    <w:p w:rsidR="00B431AB" w:rsidRDefault="009223AF" w:rsidP="009223AF">
      <w:pPr>
        <w:ind w:firstLine="720"/>
      </w:pPr>
      <w:r>
        <w:t xml:space="preserve">The average annual cost </w:t>
      </w:r>
      <w:r w:rsidR="007008D1">
        <w:t xml:space="preserve">between now and 2030 of </w:t>
      </w:r>
      <w:r>
        <w:t xml:space="preserve">lost generation, </w:t>
      </w:r>
      <w:r w:rsidR="007008D1">
        <w:t xml:space="preserve">and </w:t>
      </w:r>
      <w:r>
        <w:t xml:space="preserve">lost coal and natural gas </w:t>
      </w:r>
      <w:r w:rsidR="007008D1">
        <w:t>production</w:t>
      </w:r>
      <w:r>
        <w:t xml:space="preserve"> could be as high as $</w:t>
      </w:r>
      <w:r w:rsidR="00600D85">
        <w:t>1.6 billion/year</w:t>
      </w:r>
      <w:r>
        <w:t xml:space="preserve">.  RGGI expense may be $250 million a year, and there may be $400 million in one-time power plant decommissioning cost.  Over 10 years RGGI might have </w:t>
      </w:r>
      <w:r w:rsidR="007008D1">
        <w:t xml:space="preserve">a </w:t>
      </w:r>
      <w:r>
        <w:t>direct cost of $</w:t>
      </w:r>
      <w:r w:rsidR="00C46A61">
        <w:t>19</w:t>
      </w:r>
      <w:r>
        <w:t xml:space="preserve"> billion.  </w:t>
      </w:r>
      <w:r w:rsidR="002A21B9">
        <w:t>Indirect and induced impacts are calculated using a regional multiplier from the US Bureau of Economic Analysis, which is 1.2983 for utilities</w:t>
      </w:r>
      <w:r w:rsidR="00321063">
        <w:rPr>
          <w:vertAlign w:val="superscript"/>
        </w:rPr>
        <w:t>14</w:t>
      </w:r>
      <w:r w:rsidR="002A21B9">
        <w:t>may cost $</w:t>
      </w:r>
      <w:r w:rsidR="00C46A61">
        <w:t>24.6</w:t>
      </w:r>
      <w:r w:rsidR="002A21B9">
        <w:t xml:space="preserve"> billion</w:t>
      </w:r>
      <w:r w:rsidR="002A21B9">
        <w:rPr>
          <w:vertAlign w:val="superscript"/>
        </w:rPr>
        <w:t xml:space="preserve"> </w:t>
      </w:r>
      <w:r w:rsidR="007008D1">
        <w:t>t</w:t>
      </w:r>
      <w:r w:rsidR="00066792">
        <w:t>o reduce emission</w:t>
      </w:r>
      <w:r w:rsidR="00C46A61">
        <w:t>s by about half.</w:t>
      </w:r>
    </w:p>
    <w:p w:rsidR="00B431AB" w:rsidRDefault="00B431AB" w:rsidP="00727479"/>
    <w:p w:rsidR="00EA25D4" w:rsidRDefault="00D52937" w:rsidP="00456BF1">
      <w:pPr>
        <w:ind w:firstLine="720"/>
      </w:pPr>
      <w:r>
        <w:t>The costs don’t</w:t>
      </w:r>
      <w:r w:rsidR="001537FA">
        <w:t xml:space="preserve"> </w:t>
      </w:r>
      <w:r>
        <w:t xml:space="preserve">count the impact of lost grid reliability.  </w:t>
      </w:r>
      <w:r w:rsidR="00C46A61">
        <w:t xml:space="preserve">By cutting reliable power production in Virginia the Commonwealth will count on obtaining more power from the PJM 13 state regional grid which just announced likely power shortfalls by 2030. </w:t>
      </w:r>
    </w:p>
    <w:p w:rsidR="00456BF1" w:rsidRPr="00727479" w:rsidRDefault="00EA25D4" w:rsidP="00456BF1">
      <w:pPr>
        <w:ind w:firstLine="720"/>
      </w:pPr>
      <w:r w:rsidRPr="00727479">
        <w:t xml:space="preserve"> </w:t>
      </w:r>
    </w:p>
    <w:p w:rsidR="00FA2AD9" w:rsidRDefault="008442A2" w:rsidP="008F2407">
      <w:r>
        <w:t>Notes:</w:t>
      </w:r>
    </w:p>
    <w:p w:rsidR="0029441A" w:rsidRPr="0029441A" w:rsidRDefault="00562F01" w:rsidP="0029441A">
      <w:pPr>
        <w:pStyle w:val="ListParagraph"/>
        <w:numPr>
          <w:ilvl w:val="0"/>
          <w:numId w:val="10"/>
        </w:numPr>
        <w:rPr>
          <w:rStyle w:val="Hyperlink"/>
          <w:color w:val="000000"/>
          <w:u w:val="none"/>
        </w:rPr>
      </w:pPr>
      <w:r w:rsidRPr="0029441A">
        <w:t>Congressional Research Service, “</w:t>
      </w:r>
      <w:r w:rsidRPr="0029441A">
        <w:rPr>
          <w:rFonts w:eastAsia="Palatino Linotype"/>
        </w:rPr>
        <w:t xml:space="preserve">The Regional Greenhouse Gas Initiative: Lessons Learned and Issues for Congress”, Jonathan L. Ramseur, May 16, 2017,  </w:t>
      </w:r>
      <w:hyperlink r:id="rId8" w:history="1">
        <w:r w:rsidRPr="0029441A">
          <w:rPr>
            <w:rStyle w:val="Hyperlink"/>
            <w:rFonts w:eastAsia="Palatino Linotype"/>
          </w:rPr>
          <w:t>https://fas.org/sgp/crs/misc/R41836.pdf</w:t>
        </w:r>
      </w:hyperlink>
      <w:r w:rsidRPr="0029441A">
        <w:rPr>
          <w:rFonts w:eastAsia="Palatino Linotype"/>
        </w:rPr>
        <w:t xml:space="preserve"> </w:t>
      </w:r>
      <w:r w:rsidR="0029441A" w:rsidRPr="0029441A">
        <w:rPr>
          <w:rFonts w:eastAsia="Palatino Linotype"/>
        </w:rPr>
        <w:t>, Cato Jo</w:t>
      </w:r>
      <w:r w:rsidR="008B1C3F">
        <w:rPr>
          <w:rFonts w:eastAsia="Palatino Linotype"/>
        </w:rPr>
        <w:t>u</w:t>
      </w:r>
      <w:r w:rsidR="0029441A" w:rsidRPr="0029441A">
        <w:rPr>
          <w:rFonts w:eastAsia="Palatino Linotype"/>
        </w:rPr>
        <w:t xml:space="preserve">rnal, “A review of the Regional Greenhouse Gas Initiative”, </w:t>
      </w:r>
      <w:r w:rsidR="0029441A">
        <w:t xml:space="preserve">: </w:t>
      </w:r>
      <w:hyperlink r:id="rId9" w:history="1">
        <w:r w:rsidR="0029441A" w:rsidRPr="00A3226E">
          <w:rPr>
            <w:rStyle w:val="Hyperlink"/>
          </w:rPr>
          <w:t>https://object.cato.org/sites/cato.org/files/serials/files/cato-journal/2018/2/cato-journal-v38n1-chapter-11.pdf</w:t>
        </w:r>
      </w:hyperlink>
      <w:r w:rsidR="0029441A">
        <w:rPr>
          <w:rStyle w:val="Hyperlink"/>
        </w:rPr>
        <w:t xml:space="preserve"> </w:t>
      </w:r>
    </w:p>
    <w:p w:rsidR="00A67BCC" w:rsidRPr="00F77329" w:rsidRDefault="0029441A" w:rsidP="00A67BCC">
      <w:pPr>
        <w:pStyle w:val="ListParagraph"/>
        <w:numPr>
          <w:ilvl w:val="0"/>
          <w:numId w:val="10"/>
        </w:numPr>
        <w:rPr>
          <w:rStyle w:val="Hyperlink"/>
          <w:color w:val="000000"/>
          <w:u w:val="none"/>
        </w:rPr>
      </w:pPr>
      <w:r>
        <w:t xml:space="preserve">US Energy Information Agency, Electric Power Monthly, </w:t>
      </w:r>
      <w:hyperlink r:id="rId10" w:history="1">
        <w:r>
          <w:rPr>
            <w:rStyle w:val="Hyperlink"/>
          </w:rPr>
          <w:t>Electric Power Monthly - U.S. Energy Information Administration (EIA)</w:t>
        </w:r>
      </w:hyperlink>
    </w:p>
    <w:p w:rsidR="00F77329" w:rsidRPr="00F77329" w:rsidRDefault="00F77329" w:rsidP="00A67BCC">
      <w:pPr>
        <w:pStyle w:val="ListParagraph"/>
        <w:numPr>
          <w:ilvl w:val="0"/>
          <w:numId w:val="10"/>
        </w:numPr>
        <w:rPr>
          <w:rStyle w:val="Hyperlink"/>
          <w:color w:val="000000"/>
          <w:u w:val="none"/>
        </w:rPr>
      </w:pPr>
      <w:r w:rsidRPr="00A67BCC">
        <w:t xml:space="preserve">U.S. Energy Information Agency, “Annual Detailed State Data”, </w:t>
      </w:r>
      <w:hyperlink r:id="rId11" w:history="1">
        <w:r w:rsidRPr="00A67BCC">
          <w:rPr>
            <w:rStyle w:val="Hyperlink"/>
          </w:rPr>
          <w:t>https://www.eia.gov/electricity/data/state/</w:t>
        </w:r>
      </w:hyperlink>
    </w:p>
    <w:p w:rsidR="00F77329" w:rsidRPr="001870F8" w:rsidRDefault="00F77329" w:rsidP="00F77329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r>
        <w:t xml:space="preserve">Regional Greenhouse Gas Initiative Auction Results, </w:t>
      </w:r>
      <w:hyperlink r:id="rId12" w:history="1">
        <w:r w:rsidRPr="006778C8">
          <w:rPr>
            <w:rStyle w:val="Hyperlink"/>
          </w:rPr>
          <w:t>https://www.rggi.org/auctions/auction-results</w:t>
        </w:r>
      </w:hyperlink>
    </w:p>
    <w:p w:rsidR="00F77329" w:rsidRDefault="00F77329" w:rsidP="00F77329">
      <w:pPr>
        <w:pStyle w:val="ListParagraph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RGGI COATS, </w:t>
      </w:r>
      <w:hyperlink r:id="rId13" w:history="1">
        <w:r w:rsidRPr="008C296E">
          <w:rPr>
            <w:rStyle w:val="Hyperlink"/>
          </w:rPr>
          <w:t>https://www.rggi.org/allowance-tracking/rggi-coats</w:t>
        </w:r>
      </w:hyperlink>
      <w:r>
        <w:rPr>
          <w:color w:val="000000"/>
        </w:rPr>
        <w:t xml:space="preserve"> </w:t>
      </w:r>
    </w:p>
    <w:p w:rsidR="00F77329" w:rsidRPr="00F77329" w:rsidRDefault="00F77329" w:rsidP="00F77329">
      <w:pPr>
        <w:numPr>
          <w:ilvl w:val="0"/>
          <w:numId w:val="10"/>
        </w:numPr>
        <w:spacing w:line="249" w:lineRule="auto"/>
        <w:ind w:right="6"/>
      </w:pPr>
      <w:r>
        <w:t xml:space="preserve">PJM Systems Mix by year, </w:t>
      </w:r>
      <w:hyperlink r:id="rId14" w:history="1">
        <w:r w:rsidRPr="008C296E">
          <w:rPr>
            <w:rStyle w:val="Hyperlink"/>
          </w:rPr>
          <w:t>https://gats.pjm-eis.com/gats2/PublicReports/PJMSystemMix</w:t>
        </w:r>
      </w:hyperlink>
      <w:r>
        <w:t xml:space="preserve"> , Metric tons/MWh, 2020 = 0.360, 2022 = 0.369</w:t>
      </w:r>
    </w:p>
    <w:p w:rsidR="00A67BCC" w:rsidRPr="00A67BCC" w:rsidRDefault="0029441A" w:rsidP="00A67BCC">
      <w:pPr>
        <w:pStyle w:val="ListParagraph"/>
        <w:numPr>
          <w:ilvl w:val="0"/>
          <w:numId w:val="10"/>
        </w:numPr>
        <w:rPr>
          <w:color w:val="000000"/>
        </w:rPr>
      </w:pPr>
      <w:r w:rsidRPr="00A67BCC">
        <w:t xml:space="preserve">Author calculation from </w:t>
      </w:r>
      <w:r w:rsidRPr="00A67BCC">
        <w:rPr>
          <w:rStyle w:val="Hyperlink"/>
          <w:color w:val="auto"/>
          <w:u w:val="none"/>
        </w:rPr>
        <w:t>Emissions, Generation, Demand, and Capacity charts by State 1990 to 2020</w:t>
      </w:r>
      <w:r w:rsidR="00A67BCC" w:rsidRPr="00A67BCC">
        <w:rPr>
          <w:rStyle w:val="Hyperlink"/>
          <w:color w:val="auto"/>
          <w:u w:val="none"/>
        </w:rPr>
        <w:t xml:space="preserve">, </w:t>
      </w:r>
      <w:r w:rsidR="00A67BCC" w:rsidRPr="00A67BCC">
        <w:rPr>
          <w:rFonts w:asciiTheme="majorHAnsi" w:hAnsiTheme="majorHAnsi" w:cstheme="majorHAnsi"/>
          <w:sz w:val="22"/>
          <w:szCs w:val="22"/>
        </w:rPr>
        <w:t xml:space="preserve">Inside Energy, Lost </w:t>
      </w:r>
      <w:proofErr w:type="gramStart"/>
      <w:r w:rsidR="00A67BCC" w:rsidRPr="00A67BCC">
        <w:rPr>
          <w:rFonts w:asciiTheme="majorHAnsi" w:hAnsiTheme="majorHAnsi" w:cstheme="majorHAnsi"/>
          <w:sz w:val="22"/>
          <w:szCs w:val="22"/>
        </w:rPr>
        <w:t>In</w:t>
      </w:r>
      <w:proofErr w:type="gramEnd"/>
      <w:r w:rsidR="00A67BCC" w:rsidRPr="00A67BCC">
        <w:rPr>
          <w:rFonts w:asciiTheme="majorHAnsi" w:hAnsiTheme="majorHAnsi" w:cstheme="majorHAnsi"/>
          <w:sz w:val="22"/>
          <w:szCs w:val="22"/>
        </w:rPr>
        <w:t xml:space="preserve"> Transmission: How Much Electricity Disappears Between A Power Plant And Your Plug? </w:t>
      </w:r>
      <w:hyperlink r:id="rId15" w:history="1">
        <w:r w:rsidR="00A67BCC" w:rsidRPr="00A67BCC">
          <w:rPr>
            <w:rStyle w:val="Hyperlink"/>
            <w:rFonts w:asciiTheme="majorHAnsi" w:hAnsiTheme="majorHAnsi" w:cstheme="majorHAnsi"/>
            <w:sz w:val="22"/>
            <w:szCs w:val="22"/>
          </w:rPr>
          <w:t>www.insideenergy.org/2015/11/06/lost-in-transmission-how-much-electricity-disappears-between-a-power-plant-and-your-plug/</w:t>
        </w:r>
      </w:hyperlink>
      <w:r w:rsidR="00A67BCC" w:rsidRPr="00A67BCC">
        <w:rPr>
          <w:rFonts w:asciiTheme="majorHAnsi" w:hAnsiTheme="majorHAnsi" w:cstheme="majorHAnsi"/>
          <w:sz w:val="22"/>
          <w:szCs w:val="22"/>
        </w:rPr>
        <w:t xml:space="preserve"> </w:t>
      </w:r>
    </w:p>
    <w:p w:rsidR="008B1C3F" w:rsidRDefault="008B1C3F" w:rsidP="00A67BCC">
      <w:pPr>
        <w:pStyle w:val="ListParagraph"/>
        <w:numPr>
          <w:ilvl w:val="0"/>
          <w:numId w:val="10"/>
        </w:numPr>
      </w:pPr>
      <w:r>
        <w:t xml:space="preserve">Thomas Jefferson Institute, “Youngkin to Withdraw from RGGI, End Carbon Tax”, </w:t>
      </w:r>
      <w:hyperlink r:id="rId16" w:history="1">
        <w:r w:rsidR="000A2D8D">
          <w:rPr>
            <w:rStyle w:val="Hyperlink"/>
          </w:rPr>
          <w:t>Youngkin to Withdraw from RGGI, End Carbon Tax | (jeffersonpolicyjournal.com)</w:t>
        </w:r>
      </w:hyperlink>
    </w:p>
    <w:p w:rsidR="008B1C3F" w:rsidRPr="008B1C3F" w:rsidRDefault="008B1C3F" w:rsidP="008B1C3F">
      <w:pPr>
        <w:numPr>
          <w:ilvl w:val="0"/>
          <w:numId w:val="10"/>
        </w:numPr>
        <w:spacing w:line="249" w:lineRule="auto"/>
        <w:ind w:right="6"/>
      </w:pPr>
      <w:r w:rsidRPr="008B1C3F">
        <w:lastRenderedPageBreak/>
        <w:t xml:space="preserve">Virginia State Corporation Commission, Carol Meyers cost testimony on Dominion Power Integrated Resource Plan, </w:t>
      </w:r>
      <w:hyperlink r:id="rId17">
        <w:r w:rsidRPr="008B1C3F">
          <w:rPr>
            <w:color w:val="1155CC"/>
            <w:u w:val="single" w:color="1155CC"/>
          </w:rPr>
          <w:t>https://scc.virginia.gov/docketsearch/DOCS/4p8t01!.PDF</w:t>
        </w:r>
      </w:hyperlink>
      <w:hyperlink r:id="rId18">
        <w:r w:rsidRPr="008B1C3F">
          <w:t xml:space="preserve"> </w:t>
        </w:r>
      </w:hyperlink>
    </w:p>
    <w:p w:rsidR="001870F8" w:rsidRPr="00756CBC" w:rsidRDefault="001870F8" w:rsidP="001A343A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r w:rsidRPr="0007113B">
        <w:t>DRAFT 2017 Model Rule Policy Scenario Overview</w:t>
      </w:r>
      <w:r>
        <w:t xml:space="preserve"> Sept. 25, 2017, page 13 </w:t>
      </w:r>
      <w:hyperlink r:id="rId19" w:history="1">
        <w:r w:rsidRPr="00E55789">
          <w:rPr>
            <w:rStyle w:val="Hyperlink"/>
          </w:rPr>
          <w:t>https://www.rggi.org/sites/default/files/Uploads/Program-Review/9-25-2017/Draft_IPM_Model_Rule_Results_Overview_09_25_17.pdf</w:t>
        </w:r>
      </w:hyperlink>
      <w:r w:rsidR="006D1EE9">
        <w:rPr>
          <w:rStyle w:val="Hyperlink"/>
        </w:rPr>
        <w:t xml:space="preserve"> </w:t>
      </w:r>
    </w:p>
    <w:p w:rsidR="00756CBC" w:rsidRPr="006D1EE9" w:rsidRDefault="00756CBC" w:rsidP="001A343A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r>
        <w:t xml:space="preserve">RGGI, Inc., “The Investment of RGGI proceeds in 2019”, </w:t>
      </w:r>
      <w:hyperlink r:id="rId20" w:history="1">
        <w:r>
          <w:rPr>
            <w:rStyle w:val="Hyperlink"/>
          </w:rPr>
          <w:t>RGGI_Proceeds_Report_2019.pdf</w:t>
        </w:r>
      </w:hyperlink>
    </w:p>
    <w:p w:rsidR="006D1EE9" w:rsidRDefault="006D1EE9" w:rsidP="006D1EE9">
      <w:pPr>
        <w:pStyle w:val="ListParagraph"/>
        <w:numPr>
          <w:ilvl w:val="0"/>
          <w:numId w:val="10"/>
        </w:numPr>
      </w:pPr>
      <w:r>
        <w:t xml:space="preserve">Resources for the Future, “Decommissioning US Power Plants”, Daniel Raimi, Oct. 2017, </w:t>
      </w:r>
      <w:hyperlink r:id="rId21" w:history="1">
        <w:r w:rsidRPr="00E2738A">
          <w:rPr>
            <w:rStyle w:val="Hyperlink"/>
          </w:rPr>
          <w:t>https://media.rff.org/documents/RFF20Rpt20Decommissioning20Power20Plants.pdf</w:t>
        </w:r>
      </w:hyperlink>
      <w:r>
        <w:t xml:space="preserve">  ,Average cost/MW is $117,000 for coal, $15,000 for NG, </w:t>
      </w:r>
    </w:p>
    <w:p w:rsidR="006D1EE9" w:rsidRDefault="006D1EE9" w:rsidP="00EF329E">
      <w:pPr>
        <w:pStyle w:val="ListParagraph"/>
        <w:numPr>
          <w:ilvl w:val="0"/>
          <w:numId w:val="10"/>
        </w:numPr>
      </w:pPr>
      <w:r w:rsidRPr="00BE7830">
        <w:rPr>
          <w:rStyle w:val="Hyperlink"/>
          <w:color w:val="auto"/>
          <w:u w:val="none"/>
        </w:rPr>
        <w:t xml:space="preserve">US EIA weekly coal production, </w:t>
      </w:r>
      <w:hyperlink r:id="rId22" w:history="1">
        <w:r>
          <w:rPr>
            <w:rStyle w:val="Hyperlink"/>
          </w:rPr>
          <w:t>Weekly Coal Production by State (eia.gov)</w:t>
        </w:r>
      </w:hyperlink>
      <w:r>
        <w:t xml:space="preserve"> , coal prices, </w:t>
      </w:r>
      <w:hyperlink r:id="rId23" w:history="1">
        <w:r>
          <w:rPr>
            <w:rStyle w:val="Hyperlink"/>
          </w:rPr>
          <w:t>Coal prices and outlook - U.S. Energy Information Administration (EIA)</w:t>
        </w:r>
      </w:hyperlink>
      <w:r w:rsidRPr="00BE7830">
        <w:rPr>
          <w:rStyle w:val="Hyperlink"/>
          <w:color w:val="auto"/>
          <w:u w:val="none"/>
        </w:rPr>
        <w:t xml:space="preserve"> , natural gas production, </w:t>
      </w:r>
      <w:hyperlink r:id="rId24" w:history="1">
        <w:r>
          <w:rPr>
            <w:rStyle w:val="Hyperlink"/>
          </w:rPr>
          <w:t>Microsoft Word - table_02.doc (eia.gov)</w:t>
        </w:r>
      </w:hyperlink>
      <w:r w:rsidR="00BE7830">
        <w:rPr>
          <w:rStyle w:val="Hyperlink"/>
        </w:rPr>
        <w:t xml:space="preserve"> </w:t>
      </w:r>
      <w:r w:rsidR="006F65E9">
        <w:t>Free Energy, “Straight Facts on the environmental impact on coal”, 1100 pounds of coal/</w:t>
      </w:r>
      <w:r w:rsidR="00BE7830">
        <w:t>MWh,</w:t>
      </w:r>
      <w:r w:rsidR="006F65E9">
        <w:t xml:space="preserve"> </w:t>
      </w:r>
      <w:hyperlink r:id="rId25" w:history="1">
        <w:r w:rsidR="006F65E9">
          <w:rPr>
            <w:rStyle w:val="Hyperlink"/>
          </w:rPr>
          <w:t>Straight facts on the environmental impact of coal: CO2 emissions, pollution, land, and water (freeingenergy.com)</w:t>
        </w:r>
      </w:hyperlink>
      <w:r w:rsidR="006F65E9">
        <w:t xml:space="preserve"> </w:t>
      </w:r>
    </w:p>
    <w:p w:rsidR="002A21B9" w:rsidRDefault="002A21B9" w:rsidP="002A21B9">
      <w:pPr>
        <w:numPr>
          <w:ilvl w:val="0"/>
          <w:numId w:val="10"/>
        </w:numPr>
        <w:spacing w:line="249" w:lineRule="auto"/>
        <w:ind w:right="6"/>
      </w:pPr>
      <w:r w:rsidRPr="002A21B9">
        <w:t xml:space="preserve">U.S. Bureau of Economic Analysis Regional Impact Multiplier System, composite multiplier for indirect impact of utilities is 1.2983, available by subscription service only </w:t>
      </w:r>
    </w:p>
    <w:p w:rsidR="002A21B9" w:rsidRDefault="002A21B9" w:rsidP="002A21B9">
      <w:pPr>
        <w:pStyle w:val="ListParagraph"/>
      </w:pPr>
    </w:p>
    <w:p w:rsidR="00291B28" w:rsidRPr="00291B28" w:rsidRDefault="00291B28" w:rsidP="00291B28">
      <w:pPr>
        <w:pStyle w:val="ListParagraph"/>
        <w:rPr>
          <w:rStyle w:val="Hyperlink"/>
        </w:rPr>
      </w:pPr>
    </w:p>
    <w:p w:rsidR="00291B28" w:rsidRPr="00D47D06" w:rsidRDefault="00291B28" w:rsidP="00291B28">
      <w:pPr>
        <w:ind w:left="360"/>
        <w:rPr>
          <w:rStyle w:val="Hyperlink"/>
        </w:rPr>
      </w:pPr>
    </w:p>
    <w:p w:rsidR="0041235E" w:rsidRPr="00FA2AD9" w:rsidRDefault="0041235E" w:rsidP="0020136F">
      <w:pPr>
        <w:pStyle w:val="ListParagraph"/>
      </w:pPr>
    </w:p>
    <w:sectPr w:rsidR="0041235E" w:rsidRPr="00FA2AD9" w:rsidSect="00F22826">
      <w:headerReference w:type="default" r:id="rId26"/>
      <w:footerReference w:type="default" r:id="rId27"/>
      <w:pgSz w:w="12240" w:h="15840" w:code="1"/>
      <w:pgMar w:top="100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7AD" w:rsidRDefault="009527AD" w:rsidP="00A83C07">
      <w:r>
        <w:separator/>
      </w:r>
    </w:p>
  </w:endnote>
  <w:endnote w:type="continuationSeparator" w:id="0">
    <w:p w:rsidR="009527AD" w:rsidRDefault="009527AD" w:rsidP="00A8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2586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2937" w:rsidRDefault="00D529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F2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52937" w:rsidRDefault="00D52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7AD" w:rsidRDefault="009527AD" w:rsidP="00A83C07">
      <w:r>
        <w:separator/>
      </w:r>
    </w:p>
  </w:footnote>
  <w:footnote w:type="continuationSeparator" w:id="0">
    <w:p w:rsidR="009527AD" w:rsidRDefault="009527AD" w:rsidP="00A83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6D6" w:rsidRDefault="008409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2327910</wp:posOffset>
              </wp:positionH>
              <wp:positionV relativeFrom="paragraph">
                <wp:posOffset>-104775</wp:posOffset>
              </wp:positionV>
              <wp:extent cx="4219575" cy="1143000"/>
              <wp:effectExtent l="381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6D6" w:rsidRPr="00F123B3" w:rsidRDefault="004F7DA8" w:rsidP="006A5F4B">
                          <w:pPr>
                            <w:jc w:val="right"/>
                            <w:rPr>
                              <w:rFonts w:ascii="Georgia" w:hAnsi="Georgia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Georgia" w:hAnsi="Georgia"/>
                              <w:sz w:val="72"/>
                              <w:szCs w:val="72"/>
                            </w:rPr>
                            <w:t>Inside Energy</w:t>
                          </w:r>
                        </w:p>
                        <w:p w:rsidR="006B1982" w:rsidRDefault="006B1982" w:rsidP="006A5F4B">
                          <w:pPr>
                            <w:jc w:val="right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Published by the Caesar Rodney Institute</w:t>
                          </w:r>
                        </w:p>
                        <w:p w:rsidR="004F7DA8" w:rsidRPr="006B1982" w:rsidRDefault="004F7DA8" w:rsidP="006A5F4B">
                          <w:pPr>
                            <w:jc w:val="right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ab/>
                            <w:t xml:space="preserve">Center for </w:t>
                          </w:r>
                          <w:r w:rsidR="00B535B5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Energy Competitiv</w:t>
                          </w:r>
                          <w:r w:rsidR="00D76B02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e</w:t>
                          </w:r>
                          <w:r w:rsidR="00B535B5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ness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3.3pt;margin-top:-8.25pt;width:332.2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" stroked="f">
              <v:textbox>
                <w:txbxContent>
                  <w:p w:rsidR="003E66D6" w:rsidRPr="00F123B3" w:rsidRDefault="004F7DA8" w:rsidP="006A5F4B">
                    <w:pPr>
                      <w:jc w:val="right"/>
                      <w:rPr>
                        <w:rFonts w:ascii="Georgia" w:hAnsi="Georgia"/>
                        <w:sz w:val="72"/>
                        <w:szCs w:val="72"/>
                      </w:rPr>
                    </w:pPr>
                    <w:r>
                      <w:rPr>
                        <w:rFonts w:ascii="Georgia" w:hAnsi="Georgia"/>
                        <w:sz w:val="72"/>
                        <w:szCs w:val="72"/>
                      </w:rPr>
                      <w:t>Inside Energy</w:t>
                    </w:r>
                  </w:p>
                  <w:p w:rsidR="006B1982" w:rsidRDefault="006B1982" w:rsidP="006A5F4B">
                    <w:pPr>
                      <w:jc w:val="right"/>
                      <w:rPr>
                        <w:rFonts w:ascii="Georgia" w:hAnsi="Georgia"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sz w:val="28"/>
                        <w:szCs w:val="28"/>
                      </w:rPr>
                      <w:t>Published by the Caesar Rodney Institute</w:t>
                    </w:r>
                  </w:p>
                  <w:p w:rsidR="004F7DA8" w:rsidRPr="006B1982" w:rsidRDefault="004F7DA8" w:rsidP="006A5F4B">
                    <w:pPr>
                      <w:jc w:val="right"/>
                      <w:rPr>
                        <w:rFonts w:ascii="Georgia" w:hAnsi="Georgia"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Georgia" w:hAnsi="Georgia"/>
                        <w:sz w:val="28"/>
                        <w:szCs w:val="28"/>
                      </w:rPr>
                      <w:tab/>
                      <w:t xml:space="preserve">Center for </w:t>
                    </w:r>
                    <w:r w:rsidR="00B535B5">
                      <w:rPr>
                        <w:rFonts w:ascii="Georgia" w:hAnsi="Georgia"/>
                        <w:sz w:val="28"/>
                        <w:szCs w:val="28"/>
                      </w:rPr>
                      <w:t>Energy Competitiv</w:t>
                    </w:r>
                    <w:r w:rsidR="00D76B02">
                      <w:rPr>
                        <w:rFonts w:ascii="Georgia" w:hAnsi="Georgia"/>
                        <w:sz w:val="28"/>
                        <w:szCs w:val="28"/>
                      </w:rPr>
                      <w:t>e</w:t>
                    </w:r>
                    <w:r w:rsidR="00B535B5">
                      <w:rPr>
                        <w:rFonts w:ascii="Georgia" w:hAnsi="Georgia"/>
                        <w:sz w:val="28"/>
                        <w:szCs w:val="28"/>
                      </w:rPr>
                      <w:t>ness</w:t>
                    </w:r>
                  </w:p>
                </w:txbxContent>
              </v:textbox>
            </v:shape>
          </w:pict>
        </mc:Fallback>
      </mc:AlternateContent>
    </w:r>
    <w:r w:rsidR="003E66D6">
      <w:rPr>
        <w:noProof/>
      </w:rPr>
      <w:drawing>
        <wp:inline distT="0" distB="0" distL="0" distR="0">
          <wp:extent cx="1390650" cy="1058466"/>
          <wp:effectExtent l="19050" t="0" r="0" b="0"/>
          <wp:docPr id="2" name="Picture 1" descr="CRI blue and gol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I blue and gold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1694" cy="105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66D6" w:rsidRDefault="009527AD">
    <w:pPr>
      <w:pStyle w:val="Header"/>
    </w:pPr>
    <w:r>
      <w:pict>
        <v:rect id="_x0000_i1026" style="width:0;height:1.5pt" o:hralign="center" o:hrstd="t" o:hr="t" fillcolor="#a0a0a0" stroked="f"/>
      </w:pict>
    </w:r>
  </w:p>
  <w:p w:rsidR="007A36C4" w:rsidRDefault="007A36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7E9B"/>
    <w:multiLevelType w:val="hybridMultilevel"/>
    <w:tmpl w:val="757CB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7270"/>
    <w:multiLevelType w:val="hybridMultilevel"/>
    <w:tmpl w:val="EEC46B26"/>
    <w:lvl w:ilvl="0" w:tplc="3014F10E">
      <w:start w:val="1"/>
      <w:numFmt w:val="decimal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C884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186D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1021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1A70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E635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66E5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E00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52D1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6D7FD8"/>
    <w:multiLevelType w:val="hybridMultilevel"/>
    <w:tmpl w:val="C8CCF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76C2"/>
    <w:multiLevelType w:val="hybridMultilevel"/>
    <w:tmpl w:val="E4ECC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414E4"/>
    <w:multiLevelType w:val="hybridMultilevel"/>
    <w:tmpl w:val="76668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6140B"/>
    <w:multiLevelType w:val="hybridMultilevel"/>
    <w:tmpl w:val="E366577A"/>
    <w:lvl w:ilvl="0" w:tplc="DC5662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F450B"/>
    <w:multiLevelType w:val="hybridMultilevel"/>
    <w:tmpl w:val="EA264076"/>
    <w:lvl w:ilvl="0" w:tplc="9A5C5F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680F25"/>
    <w:multiLevelType w:val="hybridMultilevel"/>
    <w:tmpl w:val="7F962A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5355F"/>
    <w:multiLevelType w:val="hybridMultilevel"/>
    <w:tmpl w:val="6C58F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326B4"/>
    <w:multiLevelType w:val="hybridMultilevel"/>
    <w:tmpl w:val="CB482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82D7A"/>
    <w:multiLevelType w:val="hybridMultilevel"/>
    <w:tmpl w:val="6BA03B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61C92"/>
    <w:multiLevelType w:val="hybridMultilevel"/>
    <w:tmpl w:val="169CD2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00E15"/>
    <w:multiLevelType w:val="hybridMultilevel"/>
    <w:tmpl w:val="12D607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56E51"/>
    <w:multiLevelType w:val="hybridMultilevel"/>
    <w:tmpl w:val="44DE68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01681"/>
    <w:multiLevelType w:val="hybridMultilevel"/>
    <w:tmpl w:val="1AEC18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12"/>
  </w:num>
  <w:num w:numId="6">
    <w:abstractNumId w:val="11"/>
  </w:num>
  <w:num w:numId="7">
    <w:abstractNumId w:val="5"/>
  </w:num>
  <w:num w:numId="8">
    <w:abstractNumId w:val="14"/>
  </w:num>
  <w:num w:numId="9">
    <w:abstractNumId w:val="13"/>
  </w:num>
  <w:num w:numId="10">
    <w:abstractNumId w:val="3"/>
  </w:num>
  <w:num w:numId="11">
    <w:abstractNumId w:val="9"/>
  </w:num>
  <w:num w:numId="12">
    <w:abstractNumId w:val="0"/>
  </w:num>
  <w:num w:numId="13">
    <w:abstractNumId w:val="6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3B"/>
    <w:rsid w:val="0000058D"/>
    <w:rsid w:val="0000390B"/>
    <w:rsid w:val="00004B1F"/>
    <w:rsid w:val="0000637A"/>
    <w:rsid w:val="00010AF0"/>
    <w:rsid w:val="00026CD4"/>
    <w:rsid w:val="00030857"/>
    <w:rsid w:val="00040C66"/>
    <w:rsid w:val="0004169A"/>
    <w:rsid w:val="000474B6"/>
    <w:rsid w:val="0005694C"/>
    <w:rsid w:val="00057415"/>
    <w:rsid w:val="000647D4"/>
    <w:rsid w:val="00066792"/>
    <w:rsid w:val="00071EF7"/>
    <w:rsid w:val="00094F0D"/>
    <w:rsid w:val="000A20DB"/>
    <w:rsid w:val="000A2924"/>
    <w:rsid w:val="000A2D8D"/>
    <w:rsid w:val="000B2BFC"/>
    <w:rsid w:val="000D34DE"/>
    <w:rsid w:val="000E1744"/>
    <w:rsid w:val="000E3D86"/>
    <w:rsid w:val="000E7BB5"/>
    <w:rsid w:val="00110184"/>
    <w:rsid w:val="00110FF9"/>
    <w:rsid w:val="001232B1"/>
    <w:rsid w:val="00125709"/>
    <w:rsid w:val="00135770"/>
    <w:rsid w:val="001537FA"/>
    <w:rsid w:val="00155BA9"/>
    <w:rsid w:val="00157CC3"/>
    <w:rsid w:val="00164C61"/>
    <w:rsid w:val="00166FA5"/>
    <w:rsid w:val="00177F9B"/>
    <w:rsid w:val="001844D4"/>
    <w:rsid w:val="001870F8"/>
    <w:rsid w:val="00192805"/>
    <w:rsid w:val="001A6FD3"/>
    <w:rsid w:val="001C1B3D"/>
    <w:rsid w:val="001C41E9"/>
    <w:rsid w:val="001C66C5"/>
    <w:rsid w:val="001C69A8"/>
    <w:rsid w:val="001F00C6"/>
    <w:rsid w:val="00200332"/>
    <w:rsid w:val="00200ED9"/>
    <w:rsid w:val="0020136F"/>
    <w:rsid w:val="00205CE5"/>
    <w:rsid w:val="00211903"/>
    <w:rsid w:val="00211C5D"/>
    <w:rsid w:val="0021662F"/>
    <w:rsid w:val="002166CD"/>
    <w:rsid w:val="002270F3"/>
    <w:rsid w:val="0023516D"/>
    <w:rsid w:val="00236C39"/>
    <w:rsid w:val="0024312D"/>
    <w:rsid w:val="002462B3"/>
    <w:rsid w:val="00250A45"/>
    <w:rsid w:val="00250B83"/>
    <w:rsid w:val="002546BB"/>
    <w:rsid w:val="002632C0"/>
    <w:rsid w:val="00291B28"/>
    <w:rsid w:val="00291B85"/>
    <w:rsid w:val="002931FC"/>
    <w:rsid w:val="0029441A"/>
    <w:rsid w:val="002A21B9"/>
    <w:rsid w:val="002A42CA"/>
    <w:rsid w:val="002A6D45"/>
    <w:rsid w:val="002B04D9"/>
    <w:rsid w:val="002C2EE1"/>
    <w:rsid w:val="002F30B2"/>
    <w:rsid w:val="002F5262"/>
    <w:rsid w:val="003058AB"/>
    <w:rsid w:val="00311549"/>
    <w:rsid w:val="00321063"/>
    <w:rsid w:val="003346F6"/>
    <w:rsid w:val="00337844"/>
    <w:rsid w:val="00346C68"/>
    <w:rsid w:val="003512A0"/>
    <w:rsid w:val="00351B30"/>
    <w:rsid w:val="00353096"/>
    <w:rsid w:val="00354F89"/>
    <w:rsid w:val="00357E1D"/>
    <w:rsid w:val="00360C18"/>
    <w:rsid w:val="00362788"/>
    <w:rsid w:val="0036543C"/>
    <w:rsid w:val="003672D8"/>
    <w:rsid w:val="00376F0F"/>
    <w:rsid w:val="0037733E"/>
    <w:rsid w:val="00386201"/>
    <w:rsid w:val="00387A1E"/>
    <w:rsid w:val="00391278"/>
    <w:rsid w:val="003A1FFB"/>
    <w:rsid w:val="003A244A"/>
    <w:rsid w:val="003B01F7"/>
    <w:rsid w:val="003C5DA8"/>
    <w:rsid w:val="003C7D62"/>
    <w:rsid w:val="003D313E"/>
    <w:rsid w:val="003E66D6"/>
    <w:rsid w:val="003F3E33"/>
    <w:rsid w:val="0041235E"/>
    <w:rsid w:val="004135B0"/>
    <w:rsid w:val="00415F24"/>
    <w:rsid w:val="00422317"/>
    <w:rsid w:val="004248AE"/>
    <w:rsid w:val="00427C11"/>
    <w:rsid w:val="00433B75"/>
    <w:rsid w:val="00444360"/>
    <w:rsid w:val="00446C06"/>
    <w:rsid w:val="00452F13"/>
    <w:rsid w:val="00455DBD"/>
    <w:rsid w:val="00455EB1"/>
    <w:rsid w:val="00456BF1"/>
    <w:rsid w:val="0046075E"/>
    <w:rsid w:val="00466D19"/>
    <w:rsid w:val="00467196"/>
    <w:rsid w:val="004672D8"/>
    <w:rsid w:val="00476798"/>
    <w:rsid w:val="004866E4"/>
    <w:rsid w:val="004B4495"/>
    <w:rsid w:val="004C07F3"/>
    <w:rsid w:val="004E21B9"/>
    <w:rsid w:val="004E6B8D"/>
    <w:rsid w:val="004E7C5C"/>
    <w:rsid w:val="004F7DA8"/>
    <w:rsid w:val="00507976"/>
    <w:rsid w:val="00554F14"/>
    <w:rsid w:val="00562F01"/>
    <w:rsid w:val="00567C07"/>
    <w:rsid w:val="00582DB9"/>
    <w:rsid w:val="00597469"/>
    <w:rsid w:val="005A30BE"/>
    <w:rsid w:val="005A5FFC"/>
    <w:rsid w:val="005C71C7"/>
    <w:rsid w:val="005D1110"/>
    <w:rsid w:val="005D5C11"/>
    <w:rsid w:val="005D64C1"/>
    <w:rsid w:val="005F7B89"/>
    <w:rsid w:val="00600D85"/>
    <w:rsid w:val="00602166"/>
    <w:rsid w:val="0062076C"/>
    <w:rsid w:val="00631A2F"/>
    <w:rsid w:val="0064139F"/>
    <w:rsid w:val="00644234"/>
    <w:rsid w:val="0064610C"/>
    <w:rsid w:val="00651297"/>
    <w:rsid w:val="00655DD4"/>
    <w:rsid w:val="00664056"/>
    <w:rsid w:val="0067005B"/>
    <w:rsid w:val="00674ED5"/>
    <w:rsid w:val="00680345"/>
    <w:rsid w:val="00684F7B"/>
    <w:rsid w:val="00687885"/>
    <w:rsid w:val="00690B42"/>
    <w:rsid w:val="006922FA"/>
    <w:rsid w:val="006A5F4B"/>
    <w:rsid w:val="006A6990"/>
    <w:rsid w:val="006B1982"/>
    <w:rsid w:val="006B25FA"/>
    <w:rsid w:val="006C140A"/>
    <w:rsid w:val="006C2F84"/>
    <w:rsid w:val="006C5F24"/>
    <w:rsid w:val="006C6CC9"/>
    <w:rsid w:val="006D1EE9"/>
    <w:rsid w:val="006D2B30"/>
    <w:rsid w:val="006D566E"/>
    <w:rsid w:val="006E2F9A"/>
    <w:rsid w:val="006F54F1"/>
    <w:rsid w:val="006F65E9"/>
    <w:rsid w:val="007008D1"/>
    <w:rsid w:val="00703FC0"/>
    <w:rsid w:val="00712A5F"/>
    <w:rsid w:val="00720AF0"/>
    <w:rsid w:val="00720B52"/>
    <w:rsid w:val="00727479"/>
    <w:rsid w:val="00733CAC"/>
    <w:rsid w:val="00735BF0"/>
    <w:rsid w:val="00737497"/>
    <w:rsid w:val="007421E8"/>
    <w:rsid w:val="00742F10"/>
    <w:rsid w:val="00743618"/>
    <w:rsid w:val="0075065D"/>
    <w:rsid w:val="0075122B"/>
    <w:rsid w:val="00751A6B"/>
    <w:rsid w:val="00756CBC"/>
    <w:rsid w:val="00774FC2"/>
    <w:rsid w:val="00777CC9"/>
    <w:rsid w:val="00780732"/>
    <w:rsid w:val="00785C93"/>
    <w:rsid w:val="00785EC0"/>
    <w:rsid w:val="00797D9F"/>
    <w:rsid w:val="007A302E"/>
    <w:rsid w:val="007A36C4"/>
    <w:rsid w:val="007A729C"/>
    <w:rsid w:val="007C4827"/>
    <w:rsid w:val="007D0089"/>
    <w:rsid w:val="007D0E65"/>
    <w:rsid w:val="007E1033"/>
    <w:rsid w:val="007E481A"/>
    <w:rsid w:val="007F6B1D"/>
    <w:rsid w:val="007F765C"/>
    <w:rsid w:val="00811422"/>
    <w:rsid w:val="00817FAE"/>
    <w:rsid w:val="008200C4"/>
    <w:rsid w:val="00822386"/>
    <w:rsid w:val="00832388"/>
    <w:rsid w:val="0083500D"/>
    <w:rsid w:val="0083526A"/>
    <w:rsid w:val="00837B4F"/>
    <w:rsid w:val="00840965"/>
    <w:rsid w:val="00843082"/>
    <w:rsid w:val="00843EEB"/>
    <w:rsid w:val="008442A2"/>
    <w:rsid w:val="008461F1"/>
    <w:rsid w:val="00854B17"/>
    <w:rsid w:val="008710C1"/>
    <w:rsid w:val="0089284E"/>
    <w:rsid w:val="00894B2C"/>
    <w:rsid w:val="008A3E25"/>
    <w:rsid w:val="008B191D"/>
    <w:rsid w:val="008B1C3F"/>
    <w:rsid w:val="008B76C6"/>
    <w:rsid w:val="008C1B13"/>
    <w:rsid w:val="008E6089"/>
    <w:rsid w:val="008F2407"/>
    <w:rsid w:val="008F2CEE"/>
    <w:rsid w:val="008F545C"/>
    <w:rsid w:val="00900C19"/>
    <w:rsid w:val="009110AE"/>
    <w:rsid w:val="00915542"/>
    <w:rsid w:val="009223AF"/>
    <w:rsid w:val="00923B85"/>
    <w:rsid w:val="00932BED"/>
    <w:rsid w:val="009417BA"/>
    <w:rsid w:val="009527AD"/>
    <w:rsid w:val="00971978"/>
    <w:rsid w:val="00974772"/>
    <w:rsid w:val="0098144E"/>
    <w:rsid w:val="00986326"/>
    <w:rsid w:val="0098682F"/>
    <w:rsid w:val="00986CE0"/>
    <w:rsid w:val="00996967"/>
    <w:rsid w:val="009B390B"/>
    <w:rsid w:val="009B56A9"/>
    <w:rsid w:val="009B694F"/>
    <w:rsid w:val="009C69E2"/>
    <w:rsid w:val="009D0BC7"/>
    <w:rsid w:val="009D2EF5"/>
    <w:rsid w:val="009F29B0"/>
    <w:rsid w:val="009F610D"/>
    <w:rsid w:val="00A10E81"/>
    <w:rsid w:val="00A21A08"/>
    <w:rsid w:val="00A233C8"/>
    <w:rsid w:val="00A27C1E"/>
    <w:rsid w:val="00A301A8"/>
    <w:rsid w:val="00A30D54"/>
    <w:rsid w:val="00A37ECB"/>
    <w:rsid w:val="00A51029"/>
    <w:rsid w:val="00A53632"/>
    <w:rsid w:val="00A56A98"/>
    <w:rsid w:val="00A61BF2"/>
    <w:rsid w:val="00A63749"/>
    <w:rsid w:val="00A655FA"/>
    <w:rsid w:val="00A67BCC"/>
    <w:rsid w:val="00A83C07"/>
    <w:rsid w:val="00A84C64"/>
    <w:rsid w:val="00A916E6"/>
    <w:rsid w:val="00A9291D"/>
    <w:rsid w:val="00AA0ECF"/>
    <w:rsid w:val="00AA64E2"/>
    <w:rsid w:val="00AD3846"/>
    <w:rsid w:val="00AD5787"/>
    <w:rsid w:val="00AE47BC"/>
    <w:rsid w:val="00AF3823"/>
    <w:rsid w:val="00AF500A"/>
    <w:rsid w:val="00B06CEE"/>
    <w:rsid w:val="00B22EF1"/>
    <w:rsid w:val="00B25C5C"/>
    <w:rsid w:val="00B30D53"/>
    <w:rsid w:val="00B42B0A"/>
    <w:rsid w:val="00B42D71"/>
    <w:rsid w:val="00B431AB"/>
    <w:rsid w:val="00B43326"/>
    <w:rsid w:val="00B444DB"/>
    <w:rsid w:val="00B4621C"/>
    <w:rsid w:val="00B464C9"/>
    <w:rsid w:val="00B535B5"/>
    <w:rsid w:val="00B72991"/>
    <w:rsid w:val="00B82FDE"/>
    <w:rsid w:val="00B86839"/>
    <w:rsid w:val="00BA1CFD"/>
    <w:rsid w:val="00BA4E50"/>
    <w:rsid w:val="00BC79B2"/>
    <w:rsid w:val="00BD40C3"/>
    <w:rsid w:val="00BD4261"/>
    <w:rsid w:val="00BE2317"/>
    <w:rsid w:val="00BE7830"/>
    <w:rsid w:val="00BF21F6"/>
    <w:rsid w:val="00C02F64"/>
    <w:rsid w:val="00C11EC8"/>
    <w:rsid w:val="00C12034"/>
    <w:rsid w:val="00C1744E"/>
    <w:rsid w:val="00C32CC0"/>
    <w:rsid w:val="00C366FD"/>
    <w:rsid w:val="00C3749B"/>
    <w:rsid w:val="00C37E09"/>
    <w:rsid w:val="00C426B7"/>
    <w:rsid w:val="00C468C0"/>
    <w:rsid w:val="00C46A61"/>
    <w:rsid w:val="00C51708"/>
    <w:rsid w:val="00C53D13"/>
    <w:rsid w:val="00C55A39"/>
    <w:rsid w:val="00C62F7E"/>
    <w:rsid w:val="00C73A67"/>
    <w:rsid w:val="00C752CC"/>
    <w:rsid w:val="00C77694"/>
    <w:rsid w:val="00C96442"/>
    <w:rsid w:val="00C9682F"/>
    <w:rsid w:val="00C96B3C"/>
    <w:rsid w:val="00CA5BBA"/>
    <w:rsid w:val="00CB2473"/>
    <w:rsid w:val="00CB26A8"/>
    <w:rsid w:val="00CD015D"/>
    <w:rsid w:val="00CD0B84"/>
    <w:rsid w:val="00CD2476"/>
    <w:rsid w:val="00CD487A"/>
    <w:rsid w:val="00CD57ED"/>
    <w:rsid w:val="00CE4829"/>
    <w:rsid w:val="00CE593B"/>
    <w:rsid w:val="00CF4366"/>
    <w:rsid w:val="00D055D2"/>
    <w:rsid w:val="00D11DB4"/>
    <w:rsid w:val="00D1308C"/>
    <w:rsid w:val="00D1319A"/>
    <w:rsid w:val="00D17B97"/>
    <w:rsid w:val="00D211E5"/>
    <w:rsid w:val="00D22F25"/>
    <w:rsid w:val="00D23EF4"/>
    <w:rsid w:val="00D36660"/>
    <w:rsid w:val="00D46E96"/>
    <w:rsid w:val="00D52937"/>
    <w:rsid w:val="00D52E00"/>
    <w:rsid w:val="00D55AD6"/>
    <w:rsid w:val="00D622B8"/>
    <w:rsid w:val="00D70C1B"/>
    <w:rsid w:val="00D715EA"/>
    <w:rsid w:val="00D7457F"/>
    <w:rsid w:val="00D76B02"/>
    <w:rsid w:val="00D82A6E"/>
    <w:rsid w:val="00D91833"/>
    <w:rsid w:val="00DA4F3D"/>
    <w:rsid w:val="00DB23AE"/>
    <w:rsid w:val="00DD42E1"/>
    <w:rsid w:val="00DD6206"/>
    <w:rsid w:val="00DD699F"/>
    <w:rsid w:val="00DF2D6B"/>
    <w:rsid w:val="00DF5D7A"/>
    <w:rsid w:val="00E03EA6"/>
    <w:rsid w:val="00E0533C"/>
    <w:rsid w:val="00E123FA"/>
    <w:rsid w:val="00E13E12"/>
    <w:rsid w:val="00E15851"/>
    <w:rsid w:val="00E169D3"/>
    <w:rsid w:val="00E20926"/>
    <w:rsid w:val="00E21DB9"/>
    <w:rsid w:val="00E2386E"/>
    <w:rsid w:val="00E24182"/>
    <w:rsid w:val="00E30086"/>
    <w:rsid w:val="00E37065"/>
    <w:rsid w:val="00E43C19"/>
    <w:rsid w:val="00E46B08"/>
    <w:rsid w:val="00E62A60"/>
    <w:rsid w:val="00E67037"/>
    <w:rsid w:val="00E67FA9"/>
    <w:rsid w:val="00E70C39"/>
    <w:rsid w:val="00E7207B"/>
    <w:rsid w:val="00E7456A"/>
    <w:rsid w:val="00E75B89"/>
    <w:rsid w:val="00E91508"/>
    <w:rsid w:val="00E937FA"/>
    <w:rsid w:val="00E97D54"/>
    <w:rsid w:val="00EA25D4"/>
    <w:rsid w:val="00EB1447"/>
    <w:rsid w:val="00EC4110"/>
    <w:rsid w:val="00EC51A3"/>
    <w:rsid w:val="00EC5E9E"/>
    <w:rsid w:val="00EC67A5"/>
    <w:rsid w:val="00EF2057"/>
    <w:rsid w:val="00EF394C"/>
    <w:rsid w:val="00F123B3"/>
    <w:rsid w:val="00F177BF"/>
    <w:rsid w:val="00F22826"/>
    <w:rsid w:val="00F2331C"/>
    <w:rsid w:val="00F236DB"/>
    <w:rsid w:val="00F2424A"/>
    <w:rsid w:val="00F3756E"/>
    <w:rsid w:val="00F37898"/>
    <w:rsid w:val="00F46F61"/>
    <w:rsid w:val="00F574A0"/>
    <w:rsid w:val="00F57A21"/>
    <w:rsid w:val="00F603B3"/>
    <w:rsid w:val="00F6405D"/>
    <w:rsid w:val="00F77329"/>
    <w:rsid w:val="00F81DF1"/>
    <w:rsid w:val="00F85102"/>
    <w:rsid w:val="00F962B2"/>
    <w:rsid w:val="00FA20C7"/>
    <w:rsid w:val="00FA2AD9"/>
    <w:rsid w:val="00FA4CDB"/>
    <w:rsid w:val="00FB01F6"/>
    <w:rsid w:val="00FB517C"/>
    <w:rsid w:val="00FC3C3F"/>
    <w:rsid w:val="00FC4CDB"/>
    <w:rsid w:val="00FC4DD5"/>
    <w:rsid w:val="00FD1406"/>
    <w:rsid w:val="00FD1857"/>
    <w:rsid w:val="00FD196E"/>
    <w:rsid w:val="00FD248E"/>
    <w:rsid w:val="00FD3D0C"/>
    <w:rsid w:val="00FD7B51"/>
    <w:rsid w:val="00FE4D0F"/>
    <w:rsid w:val="00FE50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26E753-B770-4C7B-B17B-3E336D7F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93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67B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5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93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1844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4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82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E6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6D6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67B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1C4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.org/sgp/crs/misc/R41836.pdf" TargetMode="External"/><Relationship Id="rId13" Type="http://schemas.openxmlformats.org/officeDocument/2006/relationships/hyperlink" Target="https://www.rggi.org/allowance-tracking/rggi-coats" TargetMode="External"/><Relationship Id="rId18" Type="http://schemas.openxmlformats.org/officeDocument/2006/relationships/hyperlink" Target="https://scc.virginia.gov/docketsearch/DOCS/4p8t01!.PDF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media.rff.org/documents/RFF20Rpt20Decommissioning20Power20Plants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rggi.org/auctions/auction-results" TargetMode="External"/><Relationship Id="rId17" Type="http://schemas.openxmlformats.org/officeDocument/2006/relationships/hyperlink" Target="https://scc.virginia.gov/docketsearch/DOCS/4p8t01!.PDF" TargetMode="External"/><Relationship Id="rId25" Type="http://schemas.openxmlformats.org/officeDocument/2006/relationships/hyperlink" Target="https://www.freeingenergy.com/environmental-impact-coal-water-co2-so2-mercury-pollu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jeffersonpolicyjournal.com/youngkin-to-withdraw-from-rggi-end-carbon-tax/" TargetMode="External"/><Relationship Id="rId20" Type="http://schemas.openxmlformats.org/officeDocument/2006/relationships/hyperlink" Target="https://www.rggi.org/sites/default/files/Uploads/Proceeds/RGGI_Proceeds_Report_2019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ia.gov/electricity/data/state/" TargetMode="External"/><Relationship Id="rId24" Type="http://schemas.openxmlformats.org/officeDocument/2006/relationships/hyperlink" Target="https://www.eia.gov/naturalgas/annual/pdf/table_00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sideenergy.org/2015/11/06/lost-in-transmission-how-much-electricity-disappears-between-a-power-plant-and-your-plug/" TargetMode="External"/><Relationship Id="rId23" Type="http://schemas.openxmlformats.org/officeDocument/2006/relationships/hyperlink" Target="https://www.eia.gov/energyexplained/coal/prices-and-outlook.ph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ia.gov/electricity/monthly/" TargetMode="External"/><Relationship Id="rId19" Type="http://schemas.openxmlformats.org/officeDocument/2006/relationships/hyperlink" Target="https://www.rggi.org/sites/default/files/Uploads/Program-Review/9-25-2017/Draft_IPM_Model_Rule_Results_Overview_09_25_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ject.cato.org/sites/cato.org/files/serials/files/cato-journal/2018/2/cato-journal-v38n1-chapter-11.pdf" TargetMode="External"/><Relationship Id="rId14" Type="http://schemas.openxmlformats.org/officeDocument/2006/relationships/hyperlink" Target="https://gats.pjm-eis.com/gats2/PublicReports/PJMSystemMix" TargetMode="External"/><Relationship Id="rId22" Type="http://schemas.openxmlformats.org/officeDocument/2006/relationships/hyperlink" Target="https://www.eia.gov/coal/production/weekly/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5</Pages>
  <Words>1885</Words>
  <Characters>10957</Characters>
  <Application>Microsoft Office Word</Application>
  <DocSecurity>0</DocSecurity>
  <Lines>332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Caesar Rodney Institute</Company>
  <LinksUpToDate>false</LinksUpToDate>
  <CharactersWithSpaces>12676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T. Stevenson</dc:creator>
  <cp:lastModifiedBy>David Stevenson</cp:lastModifiedBy>
  <cp:revision>55</cp:revision>
  <cp:lastPrinted>2023-03-09T21:02:00Z</cp:lastPrinted>
  <dcterms:created xsi:type="dcterms:W3CDTF">2022-01-08T18:15:00Z</dcterms:created>
  <dcterms:modified xsi:type="dcterms:W3CDTF">2023-03-09T23:29:00Z</dcterms:modified>
</cp:coreProperties>
</file>