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25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18"/>
        <w:gridCol w:w="1376"/>
        <w:gridCol w:w="2111"/>
        <w:gridCol w:w="1710"/>
        <w:gridCol w:w="1620"/>
        <w:gridCol w:w="1260"/>
      </w:tblGrid>
      <w:tr>
        <w:tblPrEx>
          <w:shd w:val="clear" w:color="auto" w:fill="5b9bd5"/>
        </w:tblPrEx>
        <w:trPr>
          <w:trHeight w:val="1057" w:hRule="atLeast"/>
          <w:tblHeader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after="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Test Content Categories</w:t>
            </w:r>
          </w:p>
          <w:p>
            <w:pPr>
              <w:pStyle w:val="Body"/>
              <w:tabs>
                <w:tab w:val="left" w:pos="30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lang w:val="en-US"/>
              </w:rPr>
              <w:tab/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How well do I know the content?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(scale 1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–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5)</w:t>
            </w:r>
          </w:p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What resources do I have/need for this content?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Where can I find the resources I need?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Dates I will study this content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  <w:br w:type="textWrapping"/>
              <w:br w:type="textWrapping"/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Date completed</w:t>
            </w:r>
          </w:p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ing 1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outline w:val="0"/>
                <w:color w:val="1f4e79"/>
                <w:sz w:val="24"/>
                <w:szCs w:val="24"/>
                <w:u w:color="1f4e79"/>
                <w:shd w:val="nil" w:color="auto" w:fill="auto"/>
                <w:rtl w:val="0"/>
                <w:lang w:val="en-US"/>
                <w14:textFill>
                  <w14:solidFill>
                    <w14:srgbClr w14:val="1F4E79"/>
                  </w14:solidFill>
                </w14:textFill>
              </w:rPr>
              <w:t>Foundations of Linguistics (18%)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tabs>
                <w:tab w:val="clear" w:pos="432"/>
              </w:tabs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A. Understands phonetics, stress and intonation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patterns, and the effects of phonetic environment on pronunciation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B. Is familiar with IPA (the International Phonetic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Alphabet)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C. Understands the various types of morphemes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and how they are used in word formation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D. Understands the usage of English syntax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E.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Understands the parts of speech, including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their structural, semantic, and functional characteristics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F. Understands semantics and how combinations of words convey meaning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G. Knows that languages differ from or are similar to each other in their phonology, morphology, syntax, semantics, and pragmatics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H. Understands the concepts of pragmatics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I. Understands the concepts of sociolinguistics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J. Knows the concept of World Englishes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K. Understands the conventions of written English (i.e., mechanics)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L. Understands the rhetorical patterns and range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of genres used in written English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M. Understands the concept of communicative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competence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N. Knows about the inconsistencies and irregularities of the English language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57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ing 1"/>
              <w:numPr>
                <w:ilvl w:val="0"/>
                <w:numId w:val="3"/>
              </w:numPr>
              <w:spacing w:after="0"/>
              <w:rPr>
                <w:rFonts w:ascii="Calibri" w:hAnsi="Calibri"/>
                <w:outline w:val="0"/>
                <w:color w:val="1f4e79"/>
                <w:sz w:val="24"/>
                <w:szCs w:val="24"/>
                <w:u w:color="1f4e79"/>
                <w:lang w:val="en-US"/>
                <w14:textFill>
                  <w14:solidFill>
                    <w14:srgbClr w14:val="1F4E79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1f4e79"/>
                <w:sz w:val="24"/>
                <w:szCs w:val="24"/>
                <w:u w:color="1f4e79"/>
                <w:shd w:val="nil" w:color="auto" w:fill="auto"/>
                <w:rtl w:val="0"/>
                <w:lang w:val="en-US"/>
                <w14:textFill>
                  <w14:solidFill>
                    <w14:srgbClr w14:val="1F4E79"/>
                  </w14:solidFill>
                </w14:textFill>
              </w:rPr>
              <w:t>Foundations of Language Learning (22%)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A. Understands the distinction between social and academic language functions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0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B. Understands the similarities and differences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between first- and second-language acquisition, and how learners</w:t>
            </w: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first language can affect their second-language production and reception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C. Understands the processes of second-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language acquisition including research-based models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D. Knows the different types of affective factors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and their implications for the second-language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learning process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E. Understands the relationship between English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phonemes and graphemes and the rules of phonics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F. Understands the literacy development of ELs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G. Understands how first-language literacy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influences the development of literacy in English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0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H. Understands that, in addition to language, </w:t>
            </w:r>
          </w:p>
          <w:p>
            <w:pPr>
              <w:pStyle w:val="ACT Header 2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student performance may be affected by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various factors (e.g., socioeconomic, physical,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emotional)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57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ing 1"/>
              <w:spacing w:after="0"/>
            </w:pPr>
            <w:r>
              <w:rPr>
                <w:rFonts w:ascii="Calibri" w:hAnsi="Calibri"/>
                <w:outline w:val="0"/>
                <w:color w:val="1f4e79"/>
                <w:sz w:val="24"/>
                <w:szCs w:val="24"/>
                <w:u w:color="1f4e79"/>
                <w:shd w:val="nil" w:color="auto" w:fill="auto"/>
                <w:rtl w:val="0"/>
                <w:lang w:val="en-US"/>
                <w14:textFill>
                  <w14:solidFill>
                    <w14:srgbClr w14:val="1F4E79"/>
                  </w14:solidFill>
                </w14:textFill>
              </w:rPr>
              <w:t>III. Planning and Implementing Instruction (23%)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ing 1"/>
              <w:spacing w:after="0"/>
            </w:pPr>
            <w:r>
              <w:rPr>
                <w:rFonts w:ascii="Calibri" w:hAnsi="Calibri"/>
                <w:b w:val="0"/>
                <w:bCs w:val="0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A. Knows the implication of dialect variation for the instruction of English learners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0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32"/>
              </w:tabs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B. Understands various methods and approaches in teaching ELs and knows how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 xml:space="preserve">to select the most appropriate methods for the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context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32"/>
              </w:tabs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C. Knows a variety of instructional delivery models specific for ELs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32"/>
              </w:tabs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D. Knows how to identify appropriate and measureable objectives that align to language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and content standards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32"/>
              </w:tabs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E. Knows how to design appropriate classroom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activities that connect to learning objectives for ELs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32"/>
              </w:tabs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F. Knows how to design appropriate assessments that connect to learning objectives for ELs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0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32"/>
              </w:tabs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G. Is familiar with ways to collaborate with other educators in designing classroom activities appropriate to the proficiency levels of English learners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32"/>
              </w:tabs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H. Knows how to effectively integrate the four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 xml:space="preserve">domains of language (i.e., speaking, listening,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reading, and writing) into instruction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32"/>
              </w:tabs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I. Knows how to promote ELs' acquisition of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receptive and productive skills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32"/>
              </w:tabs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J. Knows how and when to apply a variety of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strategies for teaching language skills contextually or targeting them discretely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32"/>
              </w:tabs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K. Knows how to promote autonomous learning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through cognitive and metacognitive strategies with ELs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0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32"/>
              </w:tabs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L. Understands techniques that activate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 xml:space="preserve">students' prior knowledge and that build new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knowledge to support acquisition of content and language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32"/>
              </w:tabs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M. Knows how to organize instruction that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provides students with meaningful opportunities to use language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32"/>
              </w:tabs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N. Understands effective practices for teaching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literacy to ELs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6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32"/>
              </w:tabs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O. Understands how to select, modify, and/or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 xml:space="preserve">create culturally responsive, age-appropriate,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and linguistically accessible teaching materials and resources to support ELs</w:t>
            </w:r>
            <w:r>
              <w:rPr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hd w:val="nil" w:color="auto" w:fill="auto"/>
                <w:rtl w:val="0"/>
                <w:lang w:val="en-US"/>
              </w:rPr>
              <w:t>learning styles and needs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32"/>
              </w:tabs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P. Is familiar with how technologies can be used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 xml:space="preserve">to support language development, instruction,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and learning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32"/>
              </w:tabs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Q. Understands how to create a secure, supportive, and culturally respectful learning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environment for ELs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32"/>
              </w:tabs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R. Knows how and when to use constructive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feedback to facilitate English-language learning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0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32"/>
              </w:tabs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S. Knows how to create a language-, text-, and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print-rich environment at a linguistic and an age- appropriate level that promotes academic growth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32"/>
              </w:tabs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T. Understands how to differentiate instruction for ELs based on individual student needs and language proficiency levels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32"/>
              </w:tabs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U. Knows how to recognize and be instructionally responsive to Students with Interrupted Formal Education (SIFEs)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6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32"/>
              </w:tabs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V. Understands that there are differences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 xml:space="preserve">between planning for ELs with learning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 xml:space="preserve">disabilities, being aware that instruction will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need to be adapted for ELs receiving special education or gifted services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32"/>
              </w:tabs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W. Understands the importance of language modeling, comprehensible input and output, and scaffolding for English language learning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ing 1"/>
              <w:spacing w:after="0"/>
            </w:pPr>
            <w:r>
              <w:rPr>
                <w:rFonts w:ascii="Calibri" w:hAnsi="Calibri"/>
                <w:outline w:val="0"/>
                <w:color w:val="1f4e79"/>
                <w:sz w:val="24"/>
                <w:szCs w:val="24"/>
                <w:u w:color="1f4e79"/>
                <w:shd w:val="nil" w:color="auto" w:fill="auto"/>
                <w:rtl w:val="0"/>
                <w:lang w:val="en-US"/>
                <w14:textFill>
                  <w14:solidFill>
                    <w14:srgbClr w14:val="1F4E79"/>
                  </w14:solidFill>
                </w14:textFill>
              </w:rPr>
              <w:t>IV. Assessment and Evaluation (15%)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A. Familiar with the role of assessment in the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identification, placement, and exit from language-support programs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numPr>
                <w:ilvl w:val="1"/>
                <w:numId w:val="5"/>
              </w:numPr>
              <w:spacing w:after="0"/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Understands a variety of formal and informal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methods to assess receptive and productive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language skills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6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numPr>
                <w:ilvl w:val="1"/>
                <w:numId w:val="7"/>
              </w:numPr>
              <w:spacing w:after="0"/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Knows how to develop and administer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formative and summative classroom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assessments to determine ELs</w:t>
            </w: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language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skills, inform instruction, and document student growth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numPr>
                <w:ilvl w:val="1"/>
                <w:numId w:val="9"/>
              </w:numPr>
              <w:spacing w:after="0"/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Knows there are a variety of accommodations for state-mandated content-area testing for ELs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numPr>
                <w:ilvl w:val="1"/>
                <w:numId w:val="11"/>
              </w:numPr>
              <w:spacing w:after="0"/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Knows ways to adapt classroom assessments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for ELs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0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numPr>
                <w:ilvl w:val="1"/>
                <w:numId w:val="13"/>
              </w:numPr>
              <w:spacing w:after="0"/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Knows that some ELs may be eligible for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special education and/or gifted and talented services and is familiar with how to provide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feedback and input about assessment data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numPr>
                <w:ilvl w:val="1"/>
                <w:numId w:val="15"/>
              </w:numPr>
              <w:spacing w:after="0"/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Is familiar with assessment-related issues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such as validity, reliability, and language and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cultural bias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numPr>
                <w:ilvl w:val="1"/>
                <w:numId w:val="17"/>
              </w:numPr>
              <w:spacing w:after="0"/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Knows the difference between norm-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referenced and criterion-referenced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assessments, and how they are used with ELs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numPr>
                <w:ilvl w:val="1"/>
                <w:numId w:val="19"/>
              </w:numPr>
              <w:spacing w:after="0"/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Knows how to interpret assessment data and use it to assist in planning and differentiating instruction for ELs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tabs>
                <w:tab w:val="left" w:pos="155"/>
                <w:tab w:val="clear" w:pos="432"/>
              </w:tabs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J. Is familiar with strategies for communicating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assessment data to ELs and their guardians 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ing 1"/>
              <w:tabs>
                <w:tab w:val="left" w:pos="335"/>
                <w:tab w:val="clear" w:pos="432"/>
              </w:tabs>
              <w:spacing w:after="0"/>
            </w:pPr>
            <w:r>
              <w:rPr>
                <w:rFonts w:ascii="Calibri" w:hAnsi="Calibri"/>
                <w:outline w:val="0"/>
                <w:color w:val="1f4e79"/>
                <w:sz w:val="24"/>
                <w:szCs w:val="24"/>
                <w:u w:color="1f4e79"/>
                <w:shd w:val="nil" w:color="auto" w:fill="auto"/>
                <w:rtl w:val="0"/>
                <w:lang w:val="en-US"/>
                <w14:textFill>
                  <w14:solidFill>
                    <w14:srgbClr w14:val="1F4E79"/>
                  </w14:solidFill>
                </w14:textFill>
              </w:rPr>
              <w:t>V. Culture (11%)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numPr>
                <w:ilvl w:val="1"/>
                <w:numId w:val="21"/>
              </w:numPr>
              <w:spacing w:after="0"/>
              <w:rPr>
                <w:rFonts w:ascii="Calibri" w:hAnsi="Calibr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Understands the interrelationship between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language and culture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1"/>
                <w:numId w:val="23"/>
              </w:numPr>
              <w:spacing w:after="0" w:line="240" w:lineRule="auto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Understands the ways cultural variables affect second-language acquisition and teaching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1"/>
                <w:numId w:val="25"/>
              </w:numPr>
              <w:spacing w:after="0" w:line="240" w:lineRule="auto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Understands the ways students</w:t>
            </w:r>
            <w:r>
              <w:rPr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hd w:val="nil" w:color="auto" w:fill="auto"/>
                <w:rtl w:val="0"/>
                <w:lang w:val="en-US"/>
              </w:rPr>
              <w:t xml:space="preserve">identities and learning styles will vary widely across and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within cultures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1"/>
                <w:numId w:val="27"/>
              </w:numPr>
              <w:spacing w:after="0" w:line="240" w:lineRule="auto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Understands the implications of cultural stereotyping, cultural bias, and cultural bullying in the school setting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1"/>
                <w:numId w:val="29"/>
              </w:numPr>
              <w:spacing w:after="0" w:line="240" w:lineRule="auto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Knows that cultural experiences influence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student language development, disposition, and learning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1"/>
                <w:numId w:val="31"/>
              </w:numPr>
              <w:spacing w:after="0" w:line="240" w:lineRule="auto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Understands that the teacher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 xml:space="preserve">s personal and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cultural experiences influence teaching style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1"/>
                <w:numId w:val="33"/>
              </w:numPr>
              <w:spacing w:after="0" w:line="240" w:lineRule="auto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Understands the difference between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acculturation and assimilation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ing 1"/>
              <w:spacing w:after="0"/>
            </w:pPr>
            <w:r>
              <w:rPr>
                <w:rFonts w:ascii="Calibri" w:hAnsi="Calibri"/>
                <w:outline w:val="0"/>
                <w:color w:val="1f4e79"/>
                <w:sz w:val="24"/>
                <w:szCs w:val="24"/>
                <w:u w:color="1f4e79"/>
                <w:shd w:val="nil" w:color="auto" w:fill="auto"/>
                <w:rtl w:val="0"/>
                <w:lang w:val="en-US"/>
                <w14:textFill>
                  <w14:solidFill>
                    <w14:srgbClr w14:val="1F4E79"/>
                  </w14:solidFill>
                </w14:textFill>
              </w:rPr>
              <w:t>VI. Professionalism and Advocacy (11%)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A. Knows the possible differences between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disabilities and typical language proficiency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development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B. Knows how to value and incorporate diverse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cultures of students into instruction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C. Understands the legal provisions and ethical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implications of laws and federal court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decisions related to the education of ELs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D. Understands the need to serve as a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professional resource and advocate for ELs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and families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E. Understands the need to communicate with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school personnel about the characteristics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and emotional, social, and physical needs of ELs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F. Knows how to identify appropriate strategies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for planning and collaborating with ELs, their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families, and school and community members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G. Understands ways to collaborate with other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school personnel regarding the academic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needs of ELs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0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H. Is familiar with ways that ELs and their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families may benefit from a variety of outside resources (e.g., services, networks, organizations)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I. Knows a variety of strategies for consulting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with guardians and communicating with them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about each student</w:t>
            </w: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s progress and needs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0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CT Header 2"/>
              <w:spacing w:after="0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J. Knows the importance of engaging in professional development by continually researching relevant and reliable resources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and organizations in the field of teaching ESOL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spacing w:after="0"/>
    </w:pPr>
    <w:r>
      <mc:AlternateContent>
        <mc:Choice Requires="wps">
          <w:drawing xmlns:a="http://schemas.openxmlformats.org/drawingml/2006/main">
            <wp:inline distT="0" distB="0" distL="0" distR="0">
              <wp:extent cx="822959" cy="153318"/>
              <wp:effectExtent l="0" t="0" r="0" b="0"/>
              <wp:docPr id="1073741826" name="officeArt object" descr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59" cy="1533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pBdr>
                              <w:top w:val="single" w:color="d8d8d8" w:sz="4" w:space="0" w:shadow="0" w:frame="0"/>
                              <w:left w:val="nil"/>
                              <w:bottom w:val="nil"/>
                              <w:right w:val="nil"/>
                            </w:pBdr>
                            <w:jc w:val="right"/>
                          </w:pPr>
                          <w:r>
                            <w:rPr>
                              <w:rtl w:val="0"/>
                            </w:rPr>
                            <w:t xml:space="preserve">Page | </w:t>
                          </w: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_x0000_s1026" style="visibility:visible;width:64.8pt;height:12.1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pBdr>
                        <w:top w:val="single" w:color="d8d8d8" w:sz="4" w:space="0" w:shadow="0" w:frame="0"/>
                        <w:left w:val="nil"/>
                        <w:bottom w:val="nil"/>
                        <w:right w:val="nil"/>
                      </w:pBdr>
                      <w:jc w:val="right"/>
                    </w:pPr>
                    <w:r>
                      <w:rPr>
                        <w:rtl w:val="0"/>
                      </w:rPr>
                      <w:t xml:space="preserve">Page | </w:t>
                    </w: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</v:rect>
          </w:pict>
        </mc:Fallback>
      </mc:AlternateContent>
    </w:r>
    <w:r>
      <w:rPr>
        <w:sz w:val="16"/>
        <w:szCs w:val="16"/>
        <w:rtl w:val="0"/>
        <w:lang w:val="en-US"/>
      </w:rPr>
      <w:t xml:space="preserve">Copyright </w:t>
    </w:r>
    <w:r>
      <w:rPr>
        <w:sz w:val="16"/>
        <w:szCs w:val="16"/>
        <w:rtl w:val="0"/>
        <w:lang w:val="en-US"/>
      </w:rPr>
      <w:t xml:space="preserve">© </w:t>
    </w:r>
    <w:r>
      <w:rPr>
        <w:sz w:val="16"/>
        <w:szCs w:val="16"/>
        <w:rtl w:val="0"/>
        <w:lang w:val="en-US"/>
      </w:rPr>
      <w:t xml:space="preserve">2019 by Educational Testing Service. All rights reserved.  ETS, the ETS logo and PRAXIS are registered trademarks of Educational Testing Service (ETS).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enter" w:pos="6480"/>
        <w:tab w:val="clear" w:pos="4680"/>
        <w:tab w:val="clear" w:pos="9360"/>
      </w:tabs>
      <w:rPr>
        <w:rFonts w:ascii="Arial" w:cs="Arial" w:hAnsi="Arial" w:eastAsia="Arial"/>
        <w:b w:val="1"/>
        <w:bCs w:val="1"/>
        <w:sz w:val="28"/>
        <w:szCs w:val="28"/>
      </w:rPr>
    </w:pPr>
    <w:r>
      <w:rPr>
        <w:rFonts w:ascii="Arial" w:hAnsi="Arial"/>
        <w:b w:val="1"/>
        <w:bCs w:val="1"/>
        <w:sz w:val="24"/>
        <w:szCs w:val="24"/>
      </w:rPr>
      <w:drawing xmlns:a="http://schemas.openxmlformats.org/drawingml/2006/main">
        <wp:inline distT="0" distB="0" distL="0" distR="0">
          <wp:extent cx="980695" cy="351247"/>
          <wp:effectExtent l="0" t="0" r="0" b="0"/>
          <wp:docPr id="1073741825" name="officeArt object" descr="Logo &#10;&#10;ETS® PRAXI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ETS® PRAXIS logo" descr="Logo ETS® PRAXIS 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695" cy="3512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hAnsi="Arial"/>
        <w:b w:val="1"/>
        <w:bCs w:val="1"/>
        <w:sz w:val="24"/>
        <w:szCs w:val="24"/>
      </w:rPr>
      <w:tab/>
    </w:r>
    <w:r>
      <w:rPr>
        <w:rFonts w:ascii="Arial" w:hAnsi="Arial"/>
        <w:b w:val="1"/>
        <w:bCs w:val="1"/>
        <w:i w:val="1"/>
        <w:iCs w:val="1"/>
        <w:sz w:val="28"/>
        <w:szCs w:val="28"/>
        <w:rtl w:val="0"/>
        <w:lang w:val="en-US"/>
      </w:rPr>
      <w:t>Praxis</w:t>
    </w:r>
    <w:r>
      <w:rPr>
        <w:rFonts w:ascii="Arial" w:hAnsi="Arial" w:hint="default"/>
        <w:b w:val="1"/>
        <w:bCs w:val="1"/>
        <w:sz w:val="28"/>
        <w:szCs w:val="28"/>
        <w:vertAlign w:val="superscript"/>
        <w:rtl w:val="0"/>
        <w:lang w:val="en-US"/>
      </w:rPr>
      <w:t>®</w:t>
    </w:r>
    <w:r>
      <w:rPr>
        <w:rFonts w:ascii="Arial" w:hAnsi="Arial"/>
        <w:b w:val="1"/>
        <w:bCs w:val="1"/>
        <w:sz w:val="30"/>
        <w:szCs w:val="30"/>
        <w:rtl w:val="0"/>
        <w:lang w:val="en-US"/>
      </w:rPr>
      <w:t xml:space="preserve"> English to Speakers of Other Languages (5362)</w:t>
    </w:r>
    <w:r>
      <w:rPr>
        <w:rFonts w:ascii="Arial" w:hAnsi="Arial"/>
        <w:b w:val="1"/>
        <w:bCs w:val="1"/>
        <w:sz w:val="28"/>
        <w:szCs w:val="28"/>
        <w:rtl w:val="0"/>
        <w:lang w:val="en-US"/>
      </w:rPr>
      <w:t xml:space="preserve">  </w:t>
    </w:r>
  </w:p>
  <w:p>
    <w:pPr>
      <w:pStyle w:val="header"/>
      <w:tabs>
        <w:tab w:val="center" w:pos="6480"/>
        <w:tab w:val="clear" w:pos="4680"/>
        <w:tab w:val="clear" w:pos="9360"/>
      </w:tabs>
      <w:jc w:val="center"/>
    </w:pPr>
    <w:r>
      <w:rPr>
        <w:rFonts w:ascii="Arial" w:hAnsi="Arial"/>
        <w:b w:val="1"/>
        <w:bCs w:val="1"/>
        <w:sz w:val="28"/>
        <w:szCs w:val="28"/>
        <w:rtl w:val="0"/>
        <w:lang w:val="en-US"/>
      </w:rPr>
      <w:t>Study Plan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upperRoman"/>
      <w:suff w:val="tab"/>
      <w:lvlText w:val="%1."/>
      <w:lvlJc w:val="left"/>
      <w:pPr>
        <w:tabs>
          <w:tab w:val="clear" w:pos="432"/>
        </w:tabs>
        <w:ind w:left="43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clear" w:pos="432"/>
        </w:tabs>
        <w:ind w:left="43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16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28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360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ind w:left="43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ind w:left="504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ind w:left="576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upperRoman"/>
      <w:suff w:val="tab"/>
      <w:lvlText w:val="%1."/>
      <w:lvlJc w:val="left"/>
      <w:pPr>
        <w:tabs>
          <w:tab w:val="clear" w:pos="432"/>
        </w:tabs>
        <w:ind w:left="43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clear" w:pos="432"/>
        </w:tabs>
        <w:ind w:left="43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16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28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360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ind w:left="43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ind w:left="504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ind w:left="576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upperRoman"/>
      <w:suff w:val="tab"/>
      <w:lvlText w:val="%1."/>
      <w:lvlJc w:val="left"/>
      <w:pPr>
        <w:tabs>
          <w:tab w:val="clear" w:pos="432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clear" w:pos="432"/>
        </w:tabs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45"/>
          <w:tab w:val="clear" w:pos="432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45"/>
          <w:tab w:val="clear" w:pos="432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245"/>
          <w:tab w:val="clear" w:pos="432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245"/>
          <w:tab w:val="clear" w:pos="432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tabs>
          <w:tab w:val="left" w:pos="245"/>
          <w:tab w:val="clear" w:pos="432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tabs>
          <w:tab w:val="left" w:pos="245"/>
          <w:tab w:val="clear" w:pos="432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tabs>
          <w:tab w:val="left" w:pos="245"/>
          <w:tab w:val="clear" w:pos="432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upperRoman"/>
      <w:suff w:val="tab"/>
      <w:lvlText w:val="%1."/>
      <w:lvlJc w:val="left"/>
      <w:pPr>
        <w:tabs>
          <w:tab w:val="clear" w:pos="432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clear" w:pos="432"/>
        </w:tabs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45"/>
          <w:tab w:val="clear" w:pos="432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45"/>
          <w:tab w:val="clear" w:pos="432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245"/>
          <w:tab w:val="clear" w:pos="432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245"/>
          <w:tab w:val="clear" w:pos="432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tabs>
          <w:tab w:val="left" w:pos="245"/>
          <w:tab w:val="clear" w:pos="432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tabs>
          <w:tab w:val="left" w:pos="245"/>
          <w:tab w:val="clear" w:pos="432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tabs>
          <w:tab w:val="left" w:pos="245"/>
          <w:tab w:val="clear" w:pos="432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upperRoman"/>
      <w:suff w:val="tab"/>
      <w:lvlText w:val="%1."/>
      <w:lvlJc w:val="left"/>
      <w:pPr>
        <w:tabs>
          <w:tab w:val="clear" w:pos="432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clear" w:pos="432"/>
        </w:tabs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45"/>
          <w:tab w:val="clear" w:pos="432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45"/>
          <w:tab w:val="clear" w:pos="432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245"/>
          <w:tab w:val="clear" w:pos="432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245"/>
          <w:tab w:val="clear" w:pos="432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tabs>
          <w:tab w:val="left" w:pos="245"/>
          <w:tab w:val="clear" w:pos="432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tabs>
          <w:tab w:val="left" w:pos="245"/>
          <w:tab w:val="clear" w:pos="432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tabs>
          <w:tab w:val="left" w:pos="245"/>
          <w:tab w:val="clear" w:pos="432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upperRoman"/>
      <w:suff w:val="tab"/>
      <w:lvlText w:val="%1."/>
      <w:lvlJc w:val="left"/>
      <w:pPr>
        <w:tabs>
          <w:tab w:val="clear" w:pos="432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clear" w:pos="432"/>
        </w:tabs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45"/>
          <w:tab w:val="clear" w:pos="432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45"/>
          <w:tab w:val="clear" w:pos="432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245"/>
          <w:tab w:val="clear" w:pos="432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245"/>
          <w:tab w:val="clear" w:pos="432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tabs>
          <w:tab w:val="left" w:pos="245"/>
          <w:tab w:val="clear" w:pos="432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tabs>
          <w:tab w:val="left" w:pos="245"/>
          <w:tab w:val="clear" w:pos="432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tabs>
          <w:tab w:val="left" w:pos="245"/>
          <w:tab w:val="clear" w:pos="432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upperRoman"/>
      <w:suff w:val="tab"/>
      <w:lvlText w:val="%1."/>
      <w:lvlJc w:val="left"/>
      <w:pPr>
        <w:tabs>
          <w:tab w:val="clear" w:pos="432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clear" w:pos="432"/>
        </w:tabs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45"/>
          <w:tab w:val="clear" w:pos="432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45"/>
          <w:tab w:val="clear" w:pos="432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245"/>
          <w:tab w:val="clear" w:pos="432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245"/>
          <w:tab w:val="clear" w:pos="432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tabs>
          <w:tab w:val="left" w:pos="245"/>
          <w:tab w:val="clear" w:pos="432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tabs>
          <w:tab w:val="left" w:pos="245"/>
          <w:tab w:val="clear" w:pos="432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tabs>
          <w:tab w:val="left" w:pos="245"/>
          <w:tab w:val="clear" w:pos="432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upperRoman"/>
      <w:suff w:val="tab"/>
      <w:lvlText w:val="%1."/>
      <w:lvlJc w:val="left"/>
      <w:pPr>
        <w:tabs>
          <w:tab w:val="clear" w:pos="432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clear" w:pos="432"/>
        </w:tabs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45"/>
          <w:tab w:val="clear" w:pos="432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45"/>
          <w:tab w:val="clear" w:pos="432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245"/>
          <w:tab w:val="clear" w:pos="432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245"/>
          <w:tab w:val="clear" w:pos="432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tabs>
          <w:tab w:val="left" w:pos="245"/>
          <w:tab w:val="clear" w:pos="432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tabs>
          <w:tab w:val="left" w:pos="245"/>
          <w:tab w:val="clear" w:pos="432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tabs>
          <w:tab w:val="left" w:pos="245"/>
          <w:tab w:val="clear" w:pos="432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upperRoman"/>
      <w:suff w:val="tab"/>
      <w:lvlText w:val="%1."/>
      <w:lvlJc w:val="left"/>
      <w:pPr>
        <w:tabs>
          <w:tab w:val="clear" w:pos="432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clear" w:pos="432"/>
        </w:tabs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45"/>
          <w:tab w:val="clear" w:pos="432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45"/>
          <w:tab w:val="clear" w:pos="432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245"/>
          <w:tab w:val="clear" w:pos="432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245"/>
          <w:tab w:val="clear" w:pos="432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tabs>
          <w:tab w:val="left" w:pos="245"/>
          <w:tab w:val="clear" w:pos="432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tabs>
          <w:tab w:val="left" w:pos="245"/>
          <w:tab w:val="clear" w:pos="432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tabs>
          <w:tab w:val="left" w:pos="245"/>
          <w:tab w:val="clear" w:pos="432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upperRoman"/>
      <w:suff w:val="tab"/>
      <w:lvlText w:val="%1."/>
      <w:lvlJc w:val="left"/>
      <w:pPr>
        <w:tabs>
          <w:tab w:val="clear" w:pos="432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clear" w:pos="432"/>
        </w:tabs>
        <w:ind w:left="335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35"/>
          <w:tab w:val="clear" w:pos="432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335"/>
          <w:tab w:val="clear" w:pos="432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335"/>
          <w:tab w:val="clear" w:pos="432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335"/>
          <w:tab w:val="clear" w:pos="432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tabs>
          <w:tab w:val="left" w:pos="335"/>
          <w:tab w:val="clear" w:pos="432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tabs>
          <w:tab w:val="left" w:pos="335"/>
          <w:tab w:val="clear" w:pos="432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tabs>
          <w:tab w:val="left" w:pos="335"/>
          <w:tab w:val="clear" w:pos="432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upperRoman"/>
      <w:suff w:val="tab"/>
      <w:lvlText w:val="%1."/>
      <w:lvlJc w:val="left"/>
      <w:pPr>
        <w:tabs>
          <w:tab w:val="clear" w:pos="432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clear" w:pos="432"/>
        </w:tabs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45"/>
          <w:tab w:val="clear" w:pos="432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45"/>
          <w:tab w:val="clear" w:pos="432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245"/>
          <w:tab w:val="clear" w:pos="432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245"/>
          <w:tab w:val="clear" w:pos="432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tabs>
          <w:tab w:val="left" w:pos="245"/>
          <w:tab w:val="clear" w:pos="432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tabs>
          <w:tab w:val="left" w:pos="245"/>
          <w:tab w:val="clear" w:pos="432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tabs>
          <w:tab w:val="left" w:pos="245"/>
          <w:tab w:val="clear" w:pos="432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upperRoman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45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45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245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245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tabs>
          <w:tab w:val="left" w:pos="245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tabs>
          <w:tab w:val="left" w:pos="245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tabs>
          <w:tab w:val="left" w:pos="245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upperRoman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45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45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245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245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tabs>
          <w:tab w:val="left" w:pos="245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tabs>
          <w:tab w:val="left" w:pos="245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tabs>
          <w:tab w:val="left" w:pos="245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upperRoman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45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45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245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245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tabs>
          <w:tab w:val="left" w:pos="245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tabs>
          <w:tab w:val="left" w:pos="245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tabs>
          <w:tab w:val="left" w:pos="245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upperRoman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45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45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245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245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tabs>
          <w:tab w:val="left" w:pos="245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tabs>
          <w:tab w:val="left" w:pos="245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tabs>
          <w:tab w:val="left" w:pos="245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upperRoman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45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45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245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245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tabs>
          <w:tab w:val="left" w:pos="245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tabs>
          <w:tab w:val="left" w:pos="245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tabs>
          <w:tab w:val="left" w:pos="245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upperRoman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f4e7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45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45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245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245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tabs>
          <w:tab w:val="left" w:pos="245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tabs>
          <w:tab w:val="left" w:pos="245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tabs>
          <w:tab w:val="left" w:pos="245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1">
      <w:startOverride w:val="2"/>
    </w:lvlOverride>
  </w:num>
  <w:num w:numId="6">
    <w:abstractNumId w:val="3"/>
  </w:num>
  <w:num w:numId="7">
    <w:abstractNumId w:val="3"/>
    <w:lvlOverride w:ilvl="1">
      <w:startOverride w:val="3"/>
    </w:lvlOverride>
  </w:num>
  <w:num w:numId="8">
    <w:abstractNumId w:val="4"/>
  </w:num>
  <w:num w:numId="9">
    <w:abstractNumId w:val="4"/>
    <w:lvlOverride w:ilvl="1">
      <w:startOverride w:val="4"/>
    </w:lvlOverride>
  </w:num>
  <w:num w:numId="10">
    <w:abstractNumId w:val="5"/>
  </w:num>
  <w:num w:numId="11">
    <w:abstractNumId w:val="5"/>
    <w:lvlOverride w:ilvl="1">
      <w:startOverride w:val="5"/>
    </w:lvlOverride>
  </w:num>
  <w:num w:numId="12">
    <w:abstractNumId w:val="6"/>
  </w:num>
  <w:num w:numId="13">
    <w:abstractNumId w:val="6"/>
    <w:lvlOverride w:ilvl="1">
      <w:startOverride w:val="6"/>
    </w:lvlOverride>
  </w:num>
  <w:num w:numId="14">
    <w:abstractNumId w:val="7"/>
  </w:num>
  <w:num w:numId="15">
    <w:abstractNumId w:val="7"/>
    <w:lvlOverride w:ilvl="1">
      <w:startOverride w:val="7"/>
    </w:lvlOverride>
  </w:num>
  <w:num w:numId="16">
    <w:abstractNumId w:val="8"/>
  </w:num>
  <w:num w:numId="17">
    <w:abstractNumId w:val="8"/>
    <w:lvlOverride w:ilvl="1">
      <w:startOverride w:val="8"/>
    </w:lvlOverride>
  </w:num>
  <w:num w:numId="18">
    <w:abstractNumId w:val="9"/>
  </w:num>
  <w:num w:numId="19">
    <w:abstractNumId w:val="9"/>
    <w:lvlOverride w:ilvl="1">
      <w:startOverride w:val="9"/>
    </w:lvlOverride>
  </w:num>
  <w:num w:numId="20">
    <w:abstractNumId w:val="10"/>
  </w:num>
  <w:num w:numId="21">
    <w:abstractNumId w:val="10"/>
    <w:lvlOverride w:ilvl="1">
      <w:startOverride w:val="10"/>
    </w:lvlOverride>
  </w:num>
  <w:num w:numId="22">
    <w:abstractNumId w:val="11"/>
  </w:num>
  <w:num w:numId="23">
    <w:abstractNumId w:val="11"/>
    <w:lvlOverride w:ilvl="1">
      <w:startOverride w:val="11"/>
    </w:lvlOverride>
  </w:num>
  <w:num w:numId="24">
    <w:abstractNumId w:val="12"/>
  </w:num>
  <w:num w:numId="25">
    <w:abstractNumId w:val="12"/>
    <w:lvlOverride w:ilvl="1">
      <w:startOverride w:val="12"/>
    </w:lvlOverride>
  </w:num>
  <w:num w:numId="26">
    <w:abstractNumId w:val="13"/>
  </w:num>
  <w:num w:numId="27">
    <w:abstractNumId w:val="13"/>
    <w:lvlOverride w:ilvl="1">
      <w:startOverride w:val="13"/>
    </w:lvlOverride>
  </w:num>
  <w:num w:numId="28">
    <w:abstractNumId w:val="14"/>
  </w:num>
  <w:num w:numId="29">
    <w:abstractNumId w:val="14"/>
    <w:lvlOverride w:ilvl="1">
      <w:startOverride w:val="14"/>
    </w:lvlOverride>
  </w:num>
  <w:num w:numId="30">
    <w:abstractNumId w:val="15"/>
  </w:num>
  <w:num w:numId="31">
    <w:abstractNumId w:val="15"/>
    <w:lvlOverride w:ilvl="1">
      <w:startOverride w:val="15"/>
    </w:lvlOverride>
  </w:num>
  <w:num w:numId="32">
    <w:abstractNumId w:val="16"/>
  </w:num>
  <w:num w:numId="33">
    <w:abstractNumId w:val="16"/>
    <w:lvlOverride w:ilvl="1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ACT heading 1">
    <w:name w:val="ACT heading 1"/>
    <w:next w:val="ACT heading 1"/>
    <w:pPr>
      <w:keepNext w:val="0"/>
      <w:keepLines w:val="0"/>
      <w:pageBreakBefore w:val="0"/>
      <w:widowControl w:val="1"/>
      <w:shd w:val="clear" w:color="auto" w:fill="auto"/>
      <w:tabs>
        <w:tab w:val="left" w:pos="432"/>
      </w:tabs>
      <w:suppressAutoHyphens w:val="0"/>
      <w:bidi w:val="0"/>
      <w:spacing w:before="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800000"/>
      <w:spacing w:val="0"/>
      <w:kern w:val="0"/>
      <w:position w:val="0"/>
      <w:sz w:val="21"/>
      <w:szCs w:val="21"/>
      <w:u w:val="none" w:color="800000"/>
      <w:shd w:val="nil" w:color="auto" w:fill="auto"/>
      <w:vertAlign w:val="baseline"/>
      <w:lang w:val="en-US"/>
      <w14:textFill>
        <w14:solidFill>
          <w14:srgbClr w14:val="800000"/>
        </w14:solidFill>
      </w14:textFill>
    </w:rPr>
  </w:style>
  <w:style w:type="paragraph" w:styleId="ACT Header 2">
    <w:name w:val="ACT Header 2"/>
    <w:next w:val="ACT Header 2"/>
    <w:pPr>
      <w:keepNext w:val="0"/>
      <w:keepLines w:val="0"/>
      <w:pageBreakBefore w:val="0"/>
      <w:widowControl w:val="1"/>
      <w:shd w:val="clear" w:color="auto" w:fill="auto"/>
      <w:tabs>
        <w:tab w:val="left" w:pos="432"/>
      </w:tabs>
      <w:suppressAutoHyphens w:val="0"/>
      <w:bidi w:val="0"/>
      <w:spacing w:before="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