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0A200" w14:textId="77777777" w:rsidR="003C0E51" w:rsidRDefault="00A3489F" w:rsidP="00B518E1">
      <w:pPr>
        <w:tabs>
          <w:tab w:val="left" w:pos="5358"/>
        </w:tabs>
        <w:jc w:val="right"/>
        <w:rPr>
          <w:rFonts w:ascii="Palatino Linotype" w:hAnsi="Palatino Linotype"/>
          <w:b/>
        </w:rPr>
      </w:pPr>
      <w:r>
        <w:rPr>
          <w:noProof/>
        </w:rPr>
        <mc:AlternateContent>
          <mc:Choice Requires="wps">
            <w:drawing>
              <wp:anchor distT="0" distB="0" distL="114300" distR="114300" simplePos="0" relativeHeight="251658240" behindDoc="1" locked="0" layoutInCell="1" allowOverlap="1" wp14:anchorId="755A2A25" wp14:editId="1F0FB884">
                <wp:simplePos x="0" y="0"/>
                <wp:positionH relativeFrom="page">
                  <wp:posOffset>-114300</wp:posOffset>
                </wp:positionH>
                <wp:positionV relativeFrom="page">
                  <wp:posOffset>-228600</wp:posOffset>
                </wp:positionV>
                <wp:extent cx="1943100" cy="10287000"/>
                <wp:effectExtent l="0" t="0" r="0" b="0"/>
                <wp:wrapNone/>
                <wp:docPr id="8"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287000"/>
                        </a:xfrm>
                        <a:prstGeom prst="rect">
                          <a:avLst/>
                        </a:prstGeom>
                        <a:solidFill>
                          <a:srgbClr val="800000"/>
                        </a:solidFill>
                        <a:ln>
                          <a:noFill/>
                        </a:ln>
                        <a:extLst>
                          <a:ext uri="{91240B29-F687-4F45-9708-019B960494DF}">
                            <a14:hiddenLine xmlns:a14="http://schemas.microsoft.com/office/drawing/2010/main">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64ABA73D" id="DOM 1" o:spid="_x0000_s1026" alt="Green design rectangle" style="position:absolute;margin-left:-9pt;margin-top:-18pt;width:153pt;height:8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" fillcolor="maroon" stroked="f">
                <w10:wrap anchorx="page" anchory="page"/>
              </v:rect>
            </w:pict>
          </mc:Fallback>
        </mc:AlternateContent>
      </w:r>
      <w:r>
        <w:rPr>
          <w:noProof/>
        </w:rPr>
        <mc:AlternateContent>
          <mc:Choice Requires="wps">
            <w:drawing>
              <wp:anchor distT="0" distB="0" distL="114300" distR="114300" simplePos="0" relativeHeight="251658241" behindDoc="0" locked="0" layoutInCell="1" allowOverlap="1" wp14:anchorId="39266929" wp14:editId="119D0F22">
                <wp:simplePos x="0" y="0"/>
                <wp:positionH relativeFrom="page">
                  <wp:posOffset>457200</wp:posOffset>
                </wp:positionH>
                <wp:positionV relativeFrom="page">
                  <wp:posOffset>800100</wp:posOffset>
                </wp:positionV>
                <wp:extent cx="914400" cy="8001000"/>
                <wp:effectExtent l="0" t="0" r="0" b="0"/>
                <wp:wrapNone/>
                <wp:docPr id="7"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3F890" w14:textId="76DAEEAF" w:rsidR="00E024A1" w:rsidRPr="00A00FE2" w:rsidRDefault="00E024A1" w:rsidP="00CA745D">
                            <w:pPr>
                              <w:rPr>
                                <w:rFonts w:ascii="Times New Roman" w:hAnsi="Times New Roman"/>
                                <w:b/>
                                <w:i/>
                                <w:color w:val="FFFFFF" w:themeColor="background1"/>
                                <w:sz w:val="114"/>
                                <w:szCs w:val="114"/>
                              </w:rPr>
                            </w:pPr>
                          </w:p>
                        </w:txbxContent>
                      </wps:txbx>
                      <wps:bodyPr rot="0" vert="vert270"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39266929" id="_x0000_t202" coordsize="21600,21600" o:spt="202" path="m,l,21600r21600,l21600,xe">
                <v:stroke joinstyle="miter"/>
                <v:path gradientshapeok="t" o:connecttype="rect"/>
              </v:shapetype>
              <v:shape id="Text Box 248" o:spid="_x0000_s1026" type="#_x0000_t202" style="position:absolute;left:0;text-align:left;margin-left:36pt;margin-top:63pt;width:1in;height:630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" filled="f" stroked="f">
                <v:textbox style="layout-flow:vertical;mso-layout-flow-alt:bottom-to-top" inset="0,0,0,0">
                  <w:txbxContent>
                    <w:p w14:paraId="03E3F890" w14:textId="76DAEEAF" w:rsidR="00E024A1" w:rsidRPr="00A00FE2" w:rsidRDefault="00E024A1" w:rsidP="00CA745D">
                      <w:pPr>
                        <w:rPr>
                          <w:rFonts w:ascii="Times New Roman" w:hAnsi="Times New Roman"/>
                          <w:b/>
                          <w:i/>
                          <w:color w:val="FFFFFF" w:themeColor="background1"/>
                          <w:sz w:val="114"/>
                          <w:szCs w:val="114"/>
                        </w:rPr>
                      </w:pPr>
                    </w:p>
                  </w:txbxContent>
                </v:textbox>
                <w10:wrap anchorx="page" anchory="page"/>
              </v:shape>
            </w:pict>
          </mc:Fallback>
        </mc:AlternateContent>
      </w:r>
      <w:r w:rsidR="003C0E51" w:rsidRPr="007F53E9">
        <w:rPr>
          <w:rFonts w:ascii="Palatino Linotype" w:hAnsi="Palatino Linotype"/>
          <w:noProof/>
          <w:sz w:val="22"/>
          <w:szCs w:val="22"/>
        </w:rPr>
        <w:drawing>
          <wp:inline distT="0" distB="0" distL="0" distR="0" wp14:anchorId="515A3888" wp14:editId="4968EDAE">
            <wp:extent cx="1947672" cy="1792224"/>
            <wp:effectExtent l="0" t="0" r="0" b="0"/>
            <wp:docPr id="10" name="Picture 10" descr="C:\Users\pbach\AppData\Local\Microsoft\Windows\INetCacheContent.Word\NEW-bhilogoat30pct202a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227820" name="Picture 3" descr="C:\Users\pbach\AppData\Local\Microsoft\Windows\INetCacheContent.Word\NEW-bhilogoat30pct202a (002).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47672" cy="1792224"/>
                    </a:xfrm>
                    <a:prstGeom prst="rect">
                      <a:avLst/>
                    </a:prstGeom>
                    <a:noFill/>
                    <a:ln>
                      <a:noFill/>
                    </a:ln>
                  </pic:spPr>
                </pic:pic>
              </a:graphicData>
            </a:graphic>
          </wp:inline>
        </w:drawing>
      </w:r>
    </w:p>
    <w:p w14:paraId="00A392F3" w14:textId="77777777" w:rsidR="001F127B" w:rsidRDefault="001F127B" w:rsidP="003C0E51">
      <w:pPr>
        <w:ind w:right="353"/>
        <w:jc w:val="center"/>
        <w:rPr>
          <w:rFonts w:ascii="Palatino Linotype" w:hAnsi="Palatino Linotype"/>
          <w:b/>
          <w:i/>
          <w:noProof/>
          <w:color w:val="800000"/>
          <w:sz w:val="48"/>
          <w:szCs w:val="48"/>
        </w:rPr>
      </w:pPr>
    </w:p>
    <w:p w14:paraId="1E49298E" w14:textId="77777777" w:rsidR="009507A1" w:rsidRDefault="009507A1" w:rsidP="00E108F8">
      <w:pPr>
        <w:ind w:left="4320" w:right="353"/>
        <w:jc w:val="right"/>
        <w:rPr>
          <w:rFonts w:ascii="Palatino Linotype" w:hAnsi="Palatino Linotype"/>
          <w:noProof/>
          <w:sz w:val="48"/>
          <w:szCs w:val="48"/>
        </w:rPr>
      </w:pPr>
    </w:p>
    <w:p w14:paraId="77CBE5AE" w14:textId="4F7B728E" w:rsidR="00107F03" w:rsidRPr="00A26921" w:rsidRDefault="00A26921" w:rsidP="00086EA5">
      <w:pPr>
        <w:ind w:left="1440" w:firstLine="360"/>
        <w:jc w:val="right"/>
        <w:rPr>
          <w:rFonts w:ascii="Palatino Linotype" w:hAnsi="Palatino Linotype"/>
          <w:b/>
          <w:i/>
          <w:noProof/>
          <w:color w:val="800000"/>
          <w:sz w:val="40"/>
          <w:szCs w:val="40"/>
        </w:rPr>
      </w:pPr>
      <w:r w:rsidRPr="001901CC">
        <w:rPr>
          <w:rFonts w:ascii="Palatino Linotype" w:hAnsi="Palatino Linotype"/>
          <w:b/>
          <w:i/>
          <w:noProof/>
          <w:color w:val="800000"/>
          <w:sz w:val="40"/>
          <w:szCs w:val="40"/>
        </w:rPr>
        <w:t>The</w:t>
      </w:r>
      <w:r w:rsidR="00656EED">
        <w:rPr>
          <w:rFonts w:ascii="Palatino Linotype" w:hAnsi="Palatino Linotype"/>
          <w:b/>
          <w:i/>
          <w:noProof/>
          <w:color w:val="800000"/>
          <w:sz w:val="40"/>
          <w:szCs w:val="40"/>
        </w:rPr>
        <w:t xml:space="preserve"> </w:t>
      </w:r>
      <w:r w:rsidR="003F60A9" w:rsidRPr="001901CC">
        <w:rPr>
          <w:rFonts w:ascii="Palatino Linotype" w:hAnsi="Palatino Linotype"/>
          <w:b/>
          <w:i/>
          <w:noProof/>
          <w:color w:val="800000"/>
          <w:sz w:val="40"/>
          <w:szCs w:val="40"/>
        </w:rPr>
        <w:t>Transportation</w:t>
      </w:r>
      <w:r w:rsidR="00656EED">
        <w:rPr>
          <w:rFonts w:ascii="Palatino Linotype" w:hAnsi="Palatino Linotype"/>
          <w:b/>
          <w:i/>
          <w:noProof/>
          <w:color w:val="800000"/>
          <w:sz w:val="40"/>
          <w:szCs w:val="40"/>
        </w:rPr>
        <w:t xml:space="preserve"> &amp;</w:t>
      </w:r>
      <w:r w:rsidR="003F60A9" w:rsidRPr="001901CC">
        <w:rPr>
          <w:rFonts w:ascii="Palatino Linotype" w:hAnsi="Palatino Linotype"/>
          <w:b/>
          <w:i/>
          <w:noProof/>
          <w:color w:val="800000"/>
          <w:sz w:val="40"/>
          <w:szCs w:val="40"/>
        </w:rPr>
        <w:t xml:space="preserve"> Climate Initiative</w:t>
      </w:r>
      <w:r w:rsidR="00CE5E36" w:rsidRPr="00A26921">
        <w:rPr>
          <w:rFonts w:ascii="Palatino Linotype" w:hAnsi="Palatino Linotype"/>
          <w:b/>
          <w:i/>
          <w:noProof/>
          <w:color w:val="800000"/>
          <w:sz w:val="40"/>
          <w:szCs w:val="40"/>
        </w:rPr>
        <w:t>:</w:t>
      </w:r>
    </w:p>
    <w:p w14:paraId="64373949" w14:textId="1038D2B2" w:rsidR="003C0E51" w:rsidRPr="00A26921" w:rsidRDefault="00A3489F" w:rsidP="00086EA5">
      <w:pPr>
        <w:ind w:firstLine="360"/>
        <w:jc w:val="right"/>
        <w:rPr>
          <w:rFonts w:ascii="Palatino Linotype" w:hAnsi="Palatino Linotype"/>
          <w:b/>
          <w:i/>
          <w:noProof/>
          <w:color w:val="800000"/>
          <w:sz w:val="40"/>
          <w:szCs w:val="40"/>
        </w:rPr>
      </w:pPr>
      <w:r w:rsidRPr="00A26921">
        <w:rPr>
          <w:rFonts w:ascii="Palatino Linotype" w:hAnsi="Palatino Linotype"/>
          <w:b/>
          <w:i/>
          <w:noProof/>
          <w:color w:val="800000"/>
          <w:sz w:val="40"/>
          <w:szCs w:val="40"/>
        </w:rPr>
        <w:t xml:space="preserve"> </w:t>
      </w:r>
      <w:r w:rsidR="00A26921">
        <w:rPr>
          <w:rFonts w:ascii="Palatino Linotype" w:hAnsi="Palatino Linotype"/>
          <w:b/>
          <w:i/>
          <w:noProof/>
          <w:color w:val="800000"/>
          <w:sz w:val="40"/>
          <w:szCs w:val="40"/>
        </w:rPr>
        <w:t>Its</w:t>
      </w:r>
      <w:r w:rsidR="00A26921" w:rsidRPr="00A26921">
        <w:rPr>
          <w:rFonts w:ascii="Palatino Linotype" w:hAnsi="Palatino Linotype"/>
          <w:b/>
          <w:i/>
          <w:noProof/>
          <w:color w:val="800000"/>
          <w:sz w:val="40"/>
          <w:szCs w:val="40"/>
        </w:rPr>
        <w:t xml:space="preserve"> </w:t>
      </w:r>
      <w:r w:rsidR="003F60A9" w:rsidRPr="00A26921">
        <w:rPr>
          <w:rFonts w:ascii="Palatino Linotype" w:hAnsi="Palatino Linotype"/>
          <w:b/>
          <w:i/>
          <w:noProof/>
          <w:color w:val="800000"/>
          <w:sz w:val="40"/>
          <w:szCs w:val="40"/>
        </w:rPr>
        <w:t xml:space="preserve">Economic Impacts on </w:t>
      </w:r>
      <w:r w:rsidR="00721219">
        <w:rPr>
          <w:rFonts w:ascii="Palatino Linotype" w:hAnsi="Palatino Linotype"/>
          <w:b/>
          <w:i/>
          <w:noProof/>
          <w:color w:val="800000"/>
          <w:sz w:val="40"/>
          <w:szCs w:val="40"/>
        </w:rPr>
        <w:t>Virginia</w:t>
      </w:r>
    </w:p>
    <w:p w14:paraId="37C6F996" w14:textId="77777777" w:rsidR="00037447" w:rsidRDefault="00037447" w:rsidP="0036481A">
      <w:pPr>
        <w:ind w:left="2880" w:right="353"/>
        <w:jc w:val="right"/>
        <w:rPr>
          <w:rFonts w:ascii="Palatino Linotype" w:hAnsi="Palatino Linotype"/>
          <w:b/>
          <w:sz w:val="32"/>
          <w:szCs w:val="32"/>
        </w:rPr>
      </w:pPr>
    </w:p>
    <w:p w14:paraId="4FB77A65" w14:textId="0D651969" w:rsidR="00B7467E" w:rsidRDefault="0036481A" w:rsidP="0036481A">
      <w:pPr>
        <w:ind w:left="2880" w:right="353"/>
        <w:jc w:val="right"/>
        <w:rPr>
          <w:rFonts w:ascii="Palatino Linotype" w:hAnsi="Palatino Linotype"/>
          <w:b/>
          <w:sz w:val="32"/>
          <w:szCs w:val="32"/>
        </w:rPr>
      </w:pPr>
      <w:r w:rsidRPr="007A7C50">
        <w:rPr>
          <w:rFonts w:ascii="Palatino Linotype" w:hAnsi="Palatino Linotype"/>
          <w:b/>
          <w:sz w:val="32"/>
          <w:szCs w:val="32"/>
        </w:rPr>
        <w:t xml:space="preserve">David </w:t>
      </w:r>
      <w:r>
        <w:rPr>
          <w:rFonts w:ascii="Palatino Linotype" w:hAnsi="Palatino Linotype"/>
          <w:b/>
          <w:sz w:val="32"/>
          <w:szCs w:val="32"/>
        </w:rPr>
        <w:t xml:space="preserve">G. </w:t>
      </w:r>
      <w:r w:rsidRPr="007A7C50">
        <w:rPr>
          <w:rFonts w:ascii="Palatino Linotype" w:hAnsi="Palatino Linotype"/>
          <w:b/>
          <w:sz w:val="32"/>
          <w:szCs w:val="32"/>
        </w:rPr>
        <w:t>Tuerck, P</w:t>
      </w:r>
      <w:r>
        <w:rPr>
          <w:rFonts w:ascii="Palatino Linotype" w:hAnsi="Palatino Linotype"/>
          <w:b/>
          <w:sz w:val="32"/>
          <w:szCs w:val="32"/>
        </w:rPr>
        <w:t>h</w:t>
      </w:r>
      <w:r w:rsidRPr="007A7C50">
        <w:rPr>
          <w:rFonts w:ascii="Palatino Linotype" w:hAnsi="Palatino Linotype"/>
          <w:b/>
          <w:sz w:val="32"/>
          <w:szCs w:val="32"/>
        </w:rPr>
        <w:t>D</w:t>
      </w:r>
    </w:p>
    <w:p w14:paraId="2F727675" w14:textId="77777777" w:rsidR="009054B5" w:rsidRPr="007A7C50" w:rsidRDefault="00A3489F" w:rsidP="003C0E51">
      <w:pPr>
        <w:ind w:left="2880" w:right="353"/>
        <w:jc w:val="right"/>
        <w:rPr>
          <w:rFonts w:ascii="Palatino Linotype" w:hAnsi="Palatino Linotype"/>
          <w:b/>
          <w:sz w:val="32"/>
          <w:szCs w:val="32"/>
        </w:rPr>
      </w:pPr>
      <w:r>
        <w:rPr>
          <w:rFonts w:ascii="Palatino Linotype" w:hAnsi="Palatino Linotype"/>
          <w:b/>
          <w:sz w:val="32"/>
          <w:szCs w:val="32"/>
        </w:rPr>
        <w:t xml:space="preserve">William F. Burke, </w:t>
      </w:r>
      <w:r w:rsidR="00E77EEE">
        <w:rPr>
          <w:rFonts w:ascii="Palatino Linotype" w:hAnsi="Palatino Linotype"/>
          <w:b/>
          <w:sz w:val="32"/>
          <w:szCs w:val="32"/>
        </w:rPr>
        <w:t>BSBA</w:t>
      </w:r>
      <w:r>
        <w:rPr>
          <w:rFonts w:ascii="Palatino Linotype" w:hAnsi="Palatino Linotype"/>
          <w:b/>
          <w:sz w:val="32"/>
          <w:szCs w:val="32"/>
        </w:rPr>
        <w:t xml:space="preserve"> </w:t>
      </w:r>
    </w:p>
    <w:p w14:paraId="0CE51B46" w14:textId="77777777" w:rsidR="00037447" w:rsidRDefault="00037447" w:rsidP="00FB4A05">
      <w:pPr>
        <w:ind w:left="2070"/>
        <w:jc w:val="right"/>
        <w:rPr>
          <w:rFonts w:ascii="Palatino Linotype" w:hAnsi="Palatino Linotype"/>
          <w:b/>
          <w:smallCaps/>
          <w:color w:val="A50021"/>
          <w:sz w:val="28"/>
          <w:szCs w:val="28"/>
        </w:rPr>
      </w:pPr>
    </w:p>
    <w:p w14:paraId="4C5416FC" w14:textId="77777777" w:rsidR="00037447" w:rsidRDefault="00037447" w:rsidP="00FB4A05">
      <w:pPr>
        <w:ind w:left="2070"/>
        <w:jc w:val="right"/>
        <w:rPr>
          <w:rFonts w:ascii="Palatino Linotype" w:hAnsi="Palatino Linotype"/>
          <w:b/>
          <w:smallCaps/>
          <w:color w:val="A50021"/>
          <w:sz w:val="28"/>
          <w:szCs w:val="28"/>
        </w:rPr>
      </w:pPr>
    </w:p>
    <w:p w14:paraId="27B92B71" w14:textId="77777777" w:rsidR="00855B7C" w:rsidRPr="00FB4A05" w:rsidRDefault="00A3489F" w:rsidP="00FB4A05">
      <w:pPr>
        <w:ind w:left="2070"/>
        <w:jc w:val="right"/>
        <w:rPr>
          <w:rFonts w:ascii="Palatino Linotype" w:hAnsi="Palatino Linotype"/>
          <w:b/>
          <w:smallCaps/>
          <w:color w:val="A50021"/>
          <w:sz w:val="28"/>
          <w:szCs w:val="28"/>
        </w:rPr>
      </w:pPr>
      <w:r w:rsidRPr="00FB4A05">
        <w:rPr>
          <w:rFonts w:ascii="Palatino Linotype" w:hAnsi="Palatino Linotype"/>
          <w:b/>
          <w:smallCaps/>
          <w:color w:val="A50021"/>
          <w:sz w:val="28"/>
          <w:szCs w:val="28"/>
        </w:rPr>
        <w:t>The Beacon Hill Institute for Public policy research</w:t>
      </w:r>
    </w:p>
    <w:p w14:paraId="564EDB7D" w14:textId="1F0673BF" w:rsidR="00406F33" w:rsidRDefault="00EE4319" w:rsidP="00FB4A05">
      <w:pPr>
        <w:ind w:left="2160" w:hanging="90"/>
        <w:jc w:val="right"/>
        <w:rPr>
          <w:rFonts w:ascii="Palatino Linotype" w:hAnsi="Palatino Linotype"/>
          <w:b/>
          <w:smallCaps/>
          <w:color w:val="A50021"/>
          <w:sz w:val="28"/>
          <w:szCs w:val="28"/>
        </w:rPr>
      </w:pPr>
      <w:r w:rsidRPr="00FB4A05">
        <w:rPr>
          <w:rFonts w:ascii="Palatino Linotype" w:hAnsi="Palatino Linotype"/>
          <w:b/>
          <w:smallCaps/>
          <w:color w:val="A50021"/>
          <w:sz w:val="28"/>
          <w:szCs w:val="28"/>
        </w:rPr>
        <w:t>November</w:t>
      </w:r>
      <w:r w:rsidR="003E7629" w:rsidRPr="00FB4A05">
        <w:rPr>
          <w:rFonts w:ascii="Palatino Linotype" w:hAnsi="Palatino Linotype"/>
          <w:b/>
          <w:smallCaps/>
          <w:color w:val="A50021"/>
          <w:sz w:val="28"/>
          <w:szCs w:val="28"/>
        </w:rPr>
        <w:t xml:space="preserve"> </w:t>
      </w:r>
      <w:r w:rsidR="003F60A9" w:rsidRPr="00FB4A05">
        <w:rPr>
          <w:rFonts w:ascii="Palatino Linotype" w:hAnsi="Palatino Linotype"/>
          <w:b/>
          <w:smallCaps/>
          <w:color w:val="A50021"/>
          <w:sz w:val="28"/>
          <w:szCs w:val="28"/>
        </w:rPr>
        <w:t>2020</w:t>
      </w:r>
    </w:p>
    <w:p w14:paraId="05E4E2FE" w14:textId="0452079D" w:rsidR="00544558" w:rsidRDefault="00544558" w:rsidP="004A4BCC">
      <w:pPr>
        <w:ind w:left="2160" w:hanging="90"/>
        <w:jc w:val="right"/>
        <w:rPr>
          <w:rFonts w:ascii="Palatino Linotype" w:hAnsi="Palatino Linotype"/>
          <w:b/>
          <w:smallCaps/>
          <w:color w:val="A50021"/>
          <w:sz w:val="28"/>
          <w:szCs w:val="28"/>
        </w:rPr>
      </w:pPr>
      <w:r>
        <w:rPr>
          <w:rFonts w:ascii="Palatino Linotype" w:hAnsi="Palatino Linotype"/>
          <w:b/>
          <w:smallCaps/>
          <w:color w:val="A50021"/>
          <w:sz w:val="28"/>
          <w:szCs w:val="28"/>
        </w:rPr>
        <w:t>Commissioned By</w:t>
      </w:r>
      <w:r w:rsidR="004A4BCC">
        <w:rPr>
          <w:rFonts w:ascii="Palatino Linotype" w:hAnsi="Palatino Linotype"/>
          <w:b/>
          <w:smallCaps/>
          <w:color w:val="A50021"/>
          <w:sz w:val="28"/>
          <w:szCs w:val="28"/>
        </w:rPr>
        <w:t xml:space="preserve"> The Thomas Jefferson Institute for Public Policy</w:t>
      </w:r>
    </w:p>
    <w:p w14:paraId="2594B262" w14:textId="7382B356" w:rsidR="007C3364" w:rsidRDefault="00422BE1" w:rsidP="00253E2E">
      <w:pPr>
        <w:pStyle w:val="TOC2"/>
        <w:tabs>
          <w:tab w:val="right" w:leader="dot" w:pos="10963"/>
        </w:tabs>
        <w:jc w:val="right"/>
        <w:rPr>
          <w:rFonts w:ascii="Palatino Linotype" w:hAnsi="Palatino Linotype" w:cs="Palatino Linotype"/>
          <w:b/>
          <w:bCs/>
          <w:smallCaps/>
          <w:color w:val="C00000"/>
          <w:sz w:val="28"/>
          <w:szCs w:val="28"/>
        </w:rPr>
      </w:pPr>
      <w:r>
        <w:rPr>
          <w:noProof/>
        </w:rPr>
        <w:drawing>
          <wp:inline distT="0" distB="0" distL="0" distR="0" wp14:anchorId="0530AE09" wp14:editId="38104992">
            <wp:extent cx="2304288" cy="2304288"/>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4288" cy="2304288"/>
                    </a:xfrm>
                    <a:prstGeom prst="rect">
                      <a:avLst/>
                    </a:prstGeom>
                    <a:noFill/>
                    <a:ln>
                      <a:noFill/>
                    </a:ln>
                  </pic:spPr>
                </pic:pic>
              </a:graphicData>
            </a:graphic>
          </wp:inline>
        </w:drawing>
      </w:r>
    </w:p>
    <w:p w14:paraId="1C12479D" w14:textId="77777777" w:rsidR="004A4BCC" w:rsidRDefault="004A4BCC" w:rsidP="004A4BCC"/>
    <w:p w14:paraId="2A472AD8" w14:textId="548C0E6D" w:rsidR="004A4BCC" w:rsidRPr="004A4BCC" w:rsidRDefault="004A4BCC" w:rsidP="004A4BCC">
      <w:pPr>
        <w:sectPr w:rsidR="004A4BCC" w:rsidRPr="004A4BCC" w:rsidSect="00997D46">
          <w:headerReference w:type="even" r:id="rId13"/>
          <w:headerReference w:type="default" r:id="rId14"/>
          <w:type w:val="continuous"/>
          <w:pgSz w:w="12240" w:h="15840"/>
          <w:pgMar w:top="1440" w:right="1440" w:bottom="1170" w:left="1440" w:header="720" w:footer="720" w:gutter="0"/>
          <w:cols w:space="720"/>
          <w:docGrid w:linePitch="326"/>
        </w:sectPr>
      </w:pPr>
    </w:p>
    <w:p w14:paraId="0F780034" w14:textId="77777777" w:rsidR="003A6E60" w:rsidRDefault="003A6E60" w:rsidP="00997D46">
      <w:pPr>
        <w:pStyle w:val="TOC2"/>
        <w:tabs>
          <w:tab w:val="right" w:leader="dot" w:pos="10963"/>
        </w:tabs>
        <w:jc w:val="center"/>
        <w:rPr>
          <w:rFonts w:ascii="Palatino Linotype" w:hAnsi="Palatino Linotype" w:cs="Palatino Linotype"/>
          <w:b/>
          <w:bCs/>
          <w:smallCaps/>
          <w:color w:val="C00000"/>
          <w:sz w:val="28"/>
          <w:szCs w:val="28"/>
        </w:rPr>
      </w:pPr>
    </w:p>
    <w:p w14:paraId="4167A981" w14:textId="04CB89F4" w:rsidR="00997D46" w:rsidRPr="002B712B" w:rsidRDefault="00A3489F" w:rsidP="00997D46">
      <w:pPr>
        <w:pStyle w:val="TOC2"/>
        <w:tabs>
          <w:tab w:val="right" w:leader="dot" w:pos="10963"/>
        </w:tabs>
        <w:jc w:val="center"/>
        <w:rPr>
          <w:rFonts w:ascii="Palatino Linotype" w:hAnsi="Palatino Linotype" w:cs="Palatino Linotype"/>
          <w:b/>
          <w:bCs/>
          <w:smallCaps/>
          <w:color w:val="C00000"/>
          <w:sz w:val="28"/>
          <w:szCs w:val="28"/>
        </w:rPr>
      </w:pPr>
      <w:r w:rsidRPr="002B712B">
        <w:rPr>
          <w:rFonts w:ascii="Palatino Linotype" w:hAnsi="Palatino Linotype" w:cs="Palatino Linotype"/>
          <w:b/>
          <w:bCs/>
          <w:smallCaps/>
          <w:color w:val="C00000"/>
          <w:sz w:val="28"/>
          <w:szCs w:val="28"/>
        </w:rPr>
        <w:t>Table of Contents</w:t>
      </w:r>
    </w:p>
    <w:p w14:paraId="0EF58B4B" w14:textId="457A31BC" w:rsidR="008041F9" w:rsidRDefault="008041F9">
      <w:pPr>
        <w:pStyle w:val="TOC1"/>
      </w:pPr>
      <w:r w:rsidRPr="008041F9">
        <w:rPr>
          <w:b/>
          <w:bCs/>
        </w:rPr>
        <w:t>Foreword</w:t>
      </w:r>
      <w:r>
        <w:t xml:space="preserve"> ………………………………………………………………………………………...i</w:t>
      </w:r>
    </w:p>
    <w:p w14:paraId="65290CBE" w14:textId="1BD25C1B" w:rsidR="006C6602" w:rsidRPr="006C6602" w:rsidRDefault="002A162E">
      <w:pPr>
        <w:pStyle w:val="TOC1"/>
        <w:rPr>
          <w:rFonts w:eastAsiaTheme="minorEastAsia" w:cstheme="minorBidi"/>
          <w:noProof/>
        </w:rPr>
      </w:pPr>
      <w:r w:rsidRPr="00FB4A05">
        <w:fldChar w:fldCharType="begin"/>
      </w:r>
      <w:r w:rsidRPr="00FB4A05">
        <w:instrText xml:space="preserve"> TOC \o "1-3" \u </w:instrText>
      </w:r>
      <w:r w:rsidRPr="00FB4A05">
        <w:fldChar w:fldCharType="separate"/>
      </w:r>
      <w:r w:rsidR="006C6602" w:rsidRPr="00B92790">
        <w:rPr>
          <w:b/>
          <w:noProof/>
        </w:rPr>
        <w:t>Executive Summary</w:t>
      </w:r>
      <w:r w:rsidR="006C6602">
        <w:rPr>
          <w:noProof/>
        </w:rPr>
        <w:tab/>
      </w:r>
      <w:r w:rsidR="006C6602" w:rsidRPr="006C6602">
        <w:rPr>
          <w:noProof/>
        </w:rPr>
        <w:fldChar w:fldCharType="begin"/>
      </w:r>
      <w:r w:rsidR="006C6602" w:rsidRPr="006C6602">
        <w:rPr>
          <w:noProof/>
        </w:rPr>
        <w:instrText xml:space="preserve"> PAGEREF _Toc55394580 \h </w:instrText>
      </w:r>
      <w:r w:rsidR="006C6602" w:rsidRPr="006C6602">
        <w:rPr>
          <w:noProof/>
        </w:rPr>
      </w:r>
      <w:r w:rsidR="006C6602" w:rsidRPr="006C6602">
        <w:rPr>
          <w:noProof/>
        </w:rPr>
        <w:fldChar w:fldCharType="separate"/>
      </w:r>
      <w:r w:rsidR="00C8735F">
        <w:rPr>
          <w:noProof/>
        </w:rPr>
        <w:t>5</w:t>
      </w:r>
      <w:r w:rsidR="006C6602" w:rsidRPr="006C6602">
        <w:rPr>
          <w:noProof/>
        </w:rPr>
        <w:fldChar w:fldCharType="end"/>
      </w:r>
    </w:p>
    <w:p w14:paraId="72DACCAE" w14:textId="382CEF37" w:rsidR="006C6602" w:rsidRPr="006C6602" w:rsidRDefault="006C6602">
      <w:pPr>
        <w:pStyle w:val="TOC1"/>
        <w:rPr>
          <w:rFonts w:eastAsiaTheme="minorEastAsia" w:cstheme="minorBidi"/>
          <w:noProof/>
        </w:rPr>
      </w:pPr>
      <w:r w:rsidRPr="006C6602">
        <w:rPr>
          <w:b/>
          <w:noProof/>
        </w:rPr>
        <w:t>Introduction</w:t>
      </w:r>
      <w:r w:rsidRPr="006C6602">
        <w:rPr>
          <w:noProof/>
        </w:rPr>
        <w:tab/>
      </w:r>
      <w:r w:rsidRPr="006C6602">
        <w:rPr>
          <w:noProof/>
        </w:rPr>
        <w:fldChar w:fldCharType="begin"/>
      </w:r>
      <w:r w:rsidRPr="006C6602">
        <w:rPr>
          <w:noProof/>
        </w:rPr>
        <w:instrText xml:space="preserve"> PAGEREF _Toc55394581 \h </w:instrText>
      </w:r>
      <w:r w:rsidRPr="006C6602">
        <w:rPr>
          <w:noProof/>
        </w:rPr>
      </w:r>
      <w:r w:rsidRPr="006C6602">
        <w:rPr>
          <w:noProof/>
        </w:rPr>
        <w:fldChar w:fldCharType="separate"/>
      </w:r>
      <w:r w:rsidR="00C8735F">
        <w:rPr>
          <w:noProof/>
        </w:rPr>
        <w:t>8</w:t>
      </w:r>
      <w:r w:rsidRPr="006C6602">
        <w:rPr>
          <w:noProof/>
        </w:rPr>
        <w:fldChar w:fldCharType="end"/>
      </w:r>
    </w:p>
    <w:p w14:paraId="4EEB327C" w14:textId="2C508815" w:rsidR="006C6602" w:rsidRPr="006C6602" w:rsidRDefault="006C6602">
      <w:pPr>
        <w:pStyle w:val="TOC1"/>
        <w:rPr>
          <w:rFonts w:eastAsiaTheme="minorEastAsia" w:cstheme="minorBidi"/>
          <w:noProof/>
        </w:rPr>
      </w:pPr>
      <w:r w:rsidRPr="006C6602">
        <w:rPr>
          <w:b/>
          <w:noProof/>
        </w:rPr>
        <w:t>Existing Cap-and-Trade Systems</w:t>
      </w:r>
      <w:r w:rsidRPr="006C6602">
        <w:rPr>
          <w:noProof/>
        </w:rPr>
        <w:tab/>
      </w:r>
      <w:r w:rsidRPr="006C6602">
        <w:rPr>
          <w:noProof/>
        </w:rPr>
        <w:fldChar w:fldCharType="begin"/>
      </w:r>
      <w:r w:rsidRPr="006C6602">
        <w:rPr>
          <w:noProof/>
        </w:rPr>
        <w:instrText xml:space="preserve"> PAGEREF _Toc55394582 \h </w:instrText>
      </w:r>
      <w:r w:rsidRPr="006C6602">
        <w:rPr>
          <w:noProof/>
        </w:rPr>
      </w:r>
      <w:r w:rsidRPr="006C6602">
        <w:rPr>
          <w:noProof/>
        </w:rPr>
        <w:fldChar w:fldCharType="separate"/>
      </w:r>
      <w:r w:rsidR="00C8735F">
        <w:rPr>
          <w:noProof/>
        </w:rPr>
        <w:t>11</w:t>
      </w:r>
      <w:r w:rsidRPr="006C6602">
        <w:rPr>
          <w:noProof/>
        </w:rPr>
        <w:fldChar w:fldCharType="end"/>
      </w:r>
    </w:p>
    <w:p w14:paraId="2FFCA1E1" w14:textId="061247CA" w:rsidR="006C6602" w:rsidRPr="006C6602" w:rsidRDefault="006C6602">
      <w:pPr>
        <w:pStyle w:val="TOC2"/>
        <w:tabs>
          <w:tab w:val="right" w:leader="dot" w:pos="9350"/>
        </w:tabs>
        <w:rPr>
          <w:rFonts w:ascii="Palatino Linotype" w:eastAsiaTheme="minorEastAsia" w:hAnsi="Palatino Linotype" w:cstheme="minorBidi"/>
          <w:noProof/>
        </w:rPr>
      </w:pPr>
      <w:r w:rsidRPr="006C6602">
        <w:rPr>
          <w:rFonts w:ascii="Palatino Linotype" w:hAnsi="Palatino Linotype"/>
          <w:b/>
          <w:bCs/>
          <w:iCs/>
          <w:noProof/>
          <w:color w:val="000000" w:themeColor="text1"/>
        </w:rPr>
        <w:t>The European Union</w:t>
      </w:r>
      <w:r w:rsidRPr="006C6602">
        <w:rPr>
          <w:rFonts w:ascii="Palatino Linotype" w:hAnsi="Palatino Linotype"/>
          <w:noProof/>
        </w:rPr>
        <w:tab/>
      </w:r>
      <w:r w:rsidRPr="006C6602">
        <w:rPr>
          <w:rFonts w:ascii="Palatino Linotype" w:hAnsi="Palatino Linotype"/>
          <w:noProof/>
        </w:rPr>
        <w:fldChar w:fldCharType="begin"/>
      </w:r>
      <w:r w:rsidRPr="006C6602">
        <w:rPr>
          <w:rFonts w:ascii="Palatino Linotype" w:hAnsi="Palatino Linotype"/>
          <w:noProof/>
        </w:rPr>
        <w:instrText xml:space="preserve"> PAGEREF _Toc55394583 \h </w:instrText>
      </w:r>
      <w:r w:rsidRPr="006C6602">
        <w:rPr>
          <w:rFonts w:ascii="Palatino Linotype" w:hAnsi="Palatino Linotype"/>
          <w:noProof/>
        </w:rPr>
      </w:r>
      <w:r w:rsidRPr="006C6602">
        <w:rPr>
          <w:rFonts w:ascii="Palatino Linotype" w:hAnsi="Palatino Linotype"/>
          <w:noProof/>
        </w:rPr>
        <w:fldChar w:fldCharType="separate"/>
      </w:r>
      <w:r w:rsidR="00C8735F">
        <w:rPr>
          <w:rFonts w:ascii="Palatino Linotype" w:hAnsi="Palatino Linotype"/>
          <w:noProof/>
        </w:rPr>
        <w:t>11</w:t>
      </w:r>
      <w:r w:rsidRPr="006C6602">
        <w:rPr>
          <w:rFonts w:ascii="Palatino Linotype" w:hAnsi="Palatino Linotype"/>
          <w:noProof/>
        </w:rPr>
        <w:fldChar w:fldCharType="end"/>
      </w:r>
    </w:p>
    <w:p w14:paraId="09DAFE9F" w14:textId="15AC689D" w:rsidR="006C6602" w:rsidRPr="006C6602" w:rsidRDefault="006C6602">
      <w:pPr>
        <w:pStyle w:val="TOC2"/>
        <w:tabs>
          <w:tab w:val="right" w:leader="dot" w:pos="9350"/>
        </w:tabs>
        <w:rPr>
          <w:rFonts w:ascii="Palatino Linotype" w:eastAsiaTheme="minorEastAsia" w:hAnsi="Palatino Linotype" w:cstheme="minorBidi"/>
          <w:noProof/>
        </w:rPr>
      </w:pPr>
      <w:r w:rsidRPr="006C6602">
        <w:rPr>
          <w:rFonts w:ascii="Palatino Linotype" w:hAnsi="Palatino Linotype"/>
          <w:b/>
          <w:bCs/>
          <w:noProof/>
          <w:color w:val="000000" w:themeColor="text1"/>
        </w:rPr>
        <w:t>California</w:t>
      </w:r>
      <w:r w:rsidRPr="006C6602">
        <w:rPr>
          <w:rFonts w:ascii="Palatino Linotype" w:hAnsi="Palatino Linotype"/>
          <w:noProof/>
        </w:rPr>
        <w:tab/>
      </w:r>
      <w:r w:rsidRPr="006C6602">
        <w:rPr>
          <w:rFonts w:ascii="Palatino Linotype" w:hAnsi="Palatino Linotype"/>
          <w:noProof/>
        </w:rPr>
        <w:fldChar w:fldCharType="begin"/>
      </w:r>
      <w:r w:rsidRPr="006C6602">
        <w:rPr>
          <w:rFonts w:ascii="Palatino Linotype" w:hAnsi="Palatino Linotype"/>
          <w:noProof/>
        </w:rPr>
        <w:instrText xml:space="preserve"> PAGEREF _Toc55394584 \h </w:instrText>
      </w:r>
      <w:r w:rsidRPr="006C6602">
        <w:rPr>
          <w:rFonts w:ascii="Palatino Linotype" w:hAnsi="Palatino Linotype"/>
          <w:noProof/>
        </w:rPr>
      </w:r>
      <w:r w:rsidRPr="006C6602">
        <w:rPr>
          <w:rFonts w:ascii="Palatino Linotype" w:hAnsi="Palatino Linotype"/>
          <w:noProof/>
        </w:rPr>
        <w:fldChar w:fldCharType="separate"/>
      </w:r>
      <w:r w:rsidR="00C8735F">
        <w:rPr>
          <w:rFonts w:ascii="Palatino Linotype" w:hAnsi="Palatino Linotype"/>
          <w:noProof/>
        </w:rPr>
        <w:t>12</w:t>
      </w:r>
      <w:r w:rsidRPr="006C6602">
        <w:rPr>
          <w:rFonts w:ascii="Palatino Linotype" w:hAnsi="Palatino Linotype"/>
          <w:noProof/>
        </w:rPr>
        <w:fldChar w:fldCharType="end"/>
      </w:r>
    </w:p>
    <w:p w14:paraId="3166D0FC" w14:textId="40C58253" w:rsidR="006C6602" w:rsidRPr="006C6602" w:rsidRDefault="006C6602">
      <w:pPr>
        <w:pStyle w:val="TOC2"/>
        <w:tabs>
          <w:tab w:val="right" w:leader="dot" w:pos="9350"/>
        </w:tabs>
        <w:rPr>
          <w:rFonts w:ascii="Palatino Linotype" w:eastAsiaTheme="minorEastAsia" w:hAnsi="Palatino Linotype" w:cstheme="minorBidi"/>
          <w:noProof/>
        </w:rPr>
      </w:pPr>
      <w:r w:rsidRPr="006C6602">
        <w:rPr>
          <w:rFonts w:ascii="Palatino Linotype" w:hAnsi="Palatino Linotype"/>
          <w:b/>
          <w:bCs/>
          <w:noProof/>
          <w:color w:val="000000" w:themeColor="text1"/>
          <w:shd w:val="clear" w:color="auto" w:fill="FFFFFF"/>
        </w:rPr>
        <w:t>China</w:t>
      </w:r>
      <w:r w:rsidRPr="006C6602">
        <w:rPr>
          <w:rFonts w:ascii="Palatino Linotype" w:hAnsi="Palatino Linotype"/>
          <w:noProof/>
        </w:rPr>
        <w:tab/>
      </w:r>
      <w:r w:rsidRPr="006C6602">
        <w:rPr>
          <w:rFonts w:ascii="Palatino Linotype" w:hAnsi="Palatino Linotype"/>
          <w:noProof/>
        </w:rPr>
        <w:fldChar w:fldCharType="begin"/>
      </w:r>
      <w:r w:rsidRPr="006C6602">
        <w:rPr>
          <w:rFonts w:ascii="Palatino Linotype" w:hAnsi="Palatino Linotype"/>
          <w:noProof/>
        </w:rPr>
        <w:instrText xml:space="preserve"> PAGEREF _Toc55394585 \h </w:instrText>
      </w:r>
      <w:r w:rsidRPr="006C6602">
        <w:rPr>
          <w:rFonts w:ascii="Palatino Linotype" w:hAnsi="Palatino Linotype"/>
          <w:noProof/>
        </w:rPr>
      </w:r>
      <w:r w:rsidRPr="006C6602">
        <w:rPr>
          <w:rFonts w:ascii="Palatino Linotype" w:hAnsi="Palatino Linotype"/>
          <w:noProof/>
        </w:rPr>
        <w:fldChar w:fldCharType="separate"/>
      </w:r>
      <w:r w:rsidR="00C8735F">
        <w:rPr>
          <w:rFonts w:ascii="Palatino Linotype" w:hAnsi="Palatino Linotype"/>
          <w:noProof/>
        </w:rPr>
        <w:t>13</w:t>
      </w:r>
      <w:r w:rsidRPr="006C6602">
        <w:rPr>
          <w:rFonts w:ascii="Palatino Linotype" w:hAnsi="Palatino Linotype"/>
          <w:noProof/>
        </w:rPr>
        <w:fldChar w:fldCharType="end"/>
      </w:r>
    </w:p>
    <w:p w14:paraId="506C285D" w14:textId="6022A37A" w:rsidR="006C6602" w:rsidRPr="006C6602" w:rsidRDefault="006C6602">
      <w:pPr>
        <w:pStyle w:val="TOC1"/>
        <w:rPr>
          <w:rFonts w:eastAsiaTheme="minorEastAsia" w:cstheme="minorBidi"/>
          <w:noProof/>
        </w:rPr>
      </w:pPr>
      <w:r w:rsidRPr="006C6602">
        <w:rPr>
          <w:b/>
          <w:noProof/>
        </w:rPr>
        <w:t>Virginia Climate Policy</w:t>
      </w:r>
      <w:r w:rsidRPr="006C6602">
        <w:rPr>
          <w:noProof/>
        </w:rPr>
        <w:tab/>
      </w:r>
      <w:r w:rsidRPr="006C6602">
        <w:rPr>
          <w:noProof/>
        </w:rPr>
        <w:fldChar w:fldCharType="begin"/>
      </w:r>
      <w:r w:rsidRPr="006C6602">
        <w:rPr>
          <w:noProof/>
        </w:rPr>
        <w:instrText xml:space="preserve"> PAGEREF _Toc55394586 \h </w:instrText>
      </w:r>
      <w:r w:rsidRPr="006C6602">
        <w:rPr>
          <w:noProof/>
        </w:rPr>
      </w:r>
      <w:r w:rsidRPr="006C6602">
        <w:rPr>
          <w:noProof/>
        </w:rPr>
        <w:fldChar w:fldCharType="separate"/>
      </w:r>
      <w:r w:rsidR="00C8735F">
        <w:rPr>
          <w:noProof/>
        </w:rPr>
        <w:t>14</w:t>
      </w:r>
      <w:r w:rsidRPr="006C6602">
        <w:rPr>
          <w:noProof/>
        </w:rPr>
        <w:fldChar w:fldCharType="end"/>
      </w:r>
    </w:p>
    <w:p w14:paraId="6055694D" w14:textId="3FDD4138" w:rsidR="006C6602" w:rsidRPr="006C6602" w:rsidRDefault="006C6602">
      <w:pPr>
        <w:pStyle w:val="TOC1"/>
        <w:rPr>
          <w:rFonts w:eastAsiaTheme="minorEastAsia" w:cstheme="minorBidi"/>
          <w:noProof/>
        </w:rPr>
      </w:pPr>
      <w:r w:rsidRPr="006C6602">
        <w:rPr>
          <w:b/>
          <w:noProof/>
          <w:color w:val="000000" w:themeColor="text1"/>
        </w:rPr>
        <w:t>Virginia Carbon Emissions History</w:t>
      </w:r>
      <w:r w:rsidRPr="006C6602">
        <w:rPr>
          <w:noProof/>
        </w:rPr>
        <w:tab/>
      </w:r>
      <w:r w:rsidRPr="006C6602">
        <w:rPr>
          <w:noProof/>
        </w:rPr>
        <w:fldChar w:fldCharType="begin"/>
      </w:r>
      <w:r w:rsidRPr="006C6602">
        <w:rPr>
          <w:noProof/>
        </w:rPr>
        <w:instrText xml:space="preserve"> PAGEREF _Toc55394587 \h </w:instrText>
      </w:r>
      <w:r w:rsidRPr="006C6602">
        <w:rPr>
          <w:noProof/>
        </w:rPr>
      </w:r>
      <w:r w:rsidRPr="006C6602">
        <w:rPr>
          <w:noProof/>
        </w:rPr>
        <w:fldChar w:fldCharType="separate"/>
      </w:r>
      <w:r w:rsidR="00C8735F">
        <w:rPr>
          <w:noProof/>
        </w:rPr>
        <w:t>18</w:t>
      </w:r>
      <w:r w:rsidRPr="006C6602">
        <w:rPr>
          <w:noProof/>
        </w:rPr>
        <w:fldChar w:fldCharType="end"/>
      </w:r>
    </w:p>
    <w:p w14:paraId="47B58FEE" w14:textId="17F911A0" w:rsidR="006C6602" w:rsidRPr="006C6602" w:rsidRDefault="006C6602">
      <w:pPr>
        <w:pStyle w:val="TOC1"/>
        <w:rPr>
          <w:rFonts w:eastAsiaTheme="minorEastAsia" w:cstheme="minorBidi"/>
          <w:noProof/>
        </w:rPr>
      </w:pPr>
      <w:r w:rsidRPr="006C6602">
        <w:rPr>
          <w:b/>
          <w:noProof/>
          <w:color w:val="000000" w:themeColor="text1"/>
        </w:rPr>
        <w:t>The Costs and Benefits of Virginia  Participating in TCI</w:t>
      </w:r>
      <w:r w:rsidRPr="006C6602">
        <w:rPr>
          <w:noProof/>
        </w:rPr>
        <w:tab/>
      </w:r>
      <w:r w:rsidRPr="006C6602">
        <w:rPr>
          <w:noProof/>
        </w:rPr>
        <w:fldChar w:fldCharType="begin"/>
      </w:r>
      <w:r w:rsidRPr="006C6602">
        <w:rPr>
          <w:noProof/>
        </w:rPr>
        <w:instrText xml:space="preserve"> PAGEREF _Toc55394588 \h </w:instrText>
      </w:r>
      <w:r w:rsidRPr="006C6602">
        <w:rPr>
          <w:noProof/>
        </w:rPr>
      </w:r>
      <w:r w:rsidRPr="006C6602">
        <w:rPr>
          <w:noProof/>
        </w:rPr>
        <w:fldChar w:fldCharType="separate"/>
      </w:r>
      <w:r w:rsidR="00C8735F">
        <w:rPr>
          <w:noProof/>
        </w:rPr>
        <w:t>18</w:t>
      </w:r>
      <w:r w:rsidRPr="006C6602">
        <w:rPr>
          <w:noProof/>
        </w:rPr>
        <w:fldChar w:fldCharType="end"/>
      </w:r>
    </w:p>
    <w:p w14:paraId="1B5F78F3" w14:textId="4DE9847A" w:rsidR="006C6602" w:rsidRPr="006C6602" w:rsidRDefault="006C6602">
      <w:pPr>
        <w:pStyle w:val="TOC1"/>
        <w:rPr>
          <w:rFonts w:eastAsiaTheme="minorEastAsia" w:cstheme="minorBidi"/>
          <w:noProof/>
        </w:rPr>
      </w:pPr>
      <w:r w:rsidRPr="006C6602">
        <w:rPr>
          <w:b/>
          <w:noProof/>
        </w:rPr>
        <w:t>Conclusion</w:t>
      </w:r>
      <w:r w:rsidRPr="006C6602">
        <w:rPr>
          <w:noProof/>
        </w:rPr>
        <w:tab/>
      </w:r>
      <w:r w:rsidRPr="006C6602">
        <w:rPr>
          <w:noProof/>
        </w:rPr>
        <w:fldChar w:fldCharType="begin"/>
      </w:r>
      <w:r w:rsidRPr="006C6602">
        <w:rPr>
          <w:noProof/>
        </w:rPr>
        <w:instrText xml:space="preserve"> PAGEREF _Toc55394589 \h </w:instrText>
      </w:r>
      <w:r w:rsidRPr="006C6602">
        <w:rPr>
          <w:noProof/>
        </w:rPr>
      </w:r>
      <w:r w:rsidRPr="006C6602">
        <w:rPr>
          <w:noProof/>
        </w:rPr>
        <w:fldChar w:fldCharType="separate"/>
      </w:r>
      <w:r w:rsidR="00C8735F">
        <w:rPr>
          <w:noProof/>
        </w:rPr>
        <w:t>24</w:t>
      </w:r>
      <w:r w:rsidRPr="006C6602">
        <w:rPr>
          <w:noProof/>
        </w:rPr>
        <w:fldChar w:fldCharType="end"/>
      </w:r>
    </w:p>
    <w:p w14:paraId="38AFD3CD" w14:textId="23BF2E9F" w:rsidR="006C6602" w:rsidRPr="006C6602" w:rsidRDefault="006C6602">
      <w:pPr>
        <w:pStyle w:val="TOC1"/>
        <w:rPr>
          <w:rFonts w:eastAsiaTheme="minorEastAsia" w:cstheme="minorBidi"/>
          <w:noProof/>
        </w:rPr>
      </w:pPr>
      <w:r w:rsidRPr="006C6602">
        <w:rPr>
          <w:b/>
          <w:noProof/>
        </w:rPr>
        <w:t>Appendix</w:t>
      </w:r>
      <w:r w:rsidRPr="006C6602">
        <w:rPr>
          <w:noProof/>
        </w:rPr>
        <w:tab/>
      </w:r>
      <w:r w:rsidRPr="006C6602">
        <w:rPr>
          <w:noProof/>
        </w:rPr>
        <w:fldChar w:fldCharType="begin"/>
      </w:r>
      <w:r w:rsidRPr="006C6602">
        <w:rPr>
          <w:noProof/>
        </w:rPr>
        <w:instrText xml:space="preserve"> PAGEREF _Toc55394590 \h </w:instrText>
      </w:r>
      <w:r w:rsidRPr="006C6602">
        <w:rPr>
          <w:noProof/>
        </w:rPr>
      </w:r>
      <w:r w:rsidRPr="006C6602">
        <w:rPr>
          <w:noProof/>
        </w:rPr>
        <w:fldChar w:fldCharType="separate"/>
      </w:r>
      <w:r w:rsidR="00C8735F">
        <w:rPr>
          <w:noProof/>
        </w:rPr>
        <w:t>26</w:t>
      </w:r>
      <w:r w:rsidRPr="006C6602">
        <w:rPr>
          <w:noProof/>
        </w:rPr>
        <w:fldChar w:fldCharType="end"/>
      </w:r>
    </w:p>
    <w:p w14:paraId="611D8683" w14:textId="4C5D2AED" w:rsidR="00997D46" w:rsidRPr="00A0325F" w:rsidRDefault="002A162E" w:rsidP="00997D46">
      <w:pPr>
        <w:pStyle w:val="Heading1"/>
        <w:jc w:val="both"/>
        <w:rPr>
          <w:rFonts w:ascii="Palatino Linotype" w:hAnsi="Palatino Linotype"/>
          <w:sz w:val="24"/>
          <w:szCs w:val="24"/>
        </w:rPr>
      </w:pPr>
      <w:r w:rsidRPr="00FB4A05">
        <w:rPr>
          <w:rFonts w:ascii="Palatino Linotype" w:eastAsia="Times" w:hAnsi="Palatino Linotype" w:cs="Arial"/>
          <w:color w:val="auto"/>
          <w:sz w:val="24"/>
          <w:szCs w:val="24"/>
        </w:rPr>
        <w:fldChar w:fldCharType="end"/>
      </w:r>
    </w:p>
    <w:p w14:paraId="44BE2888" w14:textId="77777777" w:rsidR="006D439F" w:rsidRPr="00A0325F" w:rsidRDefault="006D439F" w:rsidP="006D439F">
      <w:pPr>
        <w:rPr>
          <w:rFonts w:ascii="Palatino Linotype" w:hAnsi="Palatino Linotype"/>
        </w:rPr>
      </w:pPr>
    </w:p>
    <w:p w14:paraId="4E25B42F" w14:textId="6998E737" w:rsidR="00997D46" w:rsidRPr="00A0325F" w:rsidRDefault="00A3489F" w:rsidP="00681131">
      <w:pPr>
        <w:pStyle w:val="TOC2"/>
        <w:tabs>
          <w:tab w:val="right" w:leader="dot" w:pos="10963"/>
        </w:tabs>
        <w:spacing w:line="360" w:lineRule="auto"/>
        <w:jc w:val="center"/>
        <w:rPr>
          <w:rFonts w:ascii="Palatino Linotype" w:hAnsi="Palatino Linotype" w:cs="Palatino Linotype"/>
          <w:b/>
          <w:bCs/>
          <w:smallCaps/>
          <w:color w:val="C00000"/>
          <w:sz w:val="28"/>
          <w:szCs w:val="28"/>
        </w:rPr>
      </w:pPr>
      <w:r w:rsidRPr="00A0325F">
        <w:rPr>
          <w:rFonts w:ascii="Palatino Linotype" w:hAnsi="Palatino Linotype" w:cs="Palatino Linotype"/>
          <w:b/>
          <w:bCs/>
          <w:smallCaps/>
          <w:color w:val="C00000"/>
          <w:sz w:val="28"/>
          <w:szCs w:val="28"/>
        </w:rPr>
        <w:t>Table of Tables</w:t>
      </w:r>
    </w:p>
    <w:p w14:paraId="7F75D8DF" w14:textId="2089780B" w:rsidR="006C6602" w:rsidRDefault="006E643F">
      <w:pPr>
        <w:pStyle w:val="TableofFigures"/>
        <w:tabs>
          <w:tab w:val="right" w:leader="dot" w:pos="9350"/>
        </w:tabs>
        <w:rPr>
          <w:rFonts w:asciiTheme="minorHAnsi" w:eastAsiaTheme="minorEastAsia" w:hAnsiTheme="minorHAnsi" w:cstheme="minorBidi"/>
          <w:noProof/>
        </w:rPr>
      </w:pPr>
      <w:r w:rsidRPr="00A0325F">
        <w:rPr>
          <w:b/>
          <w:noProof/>
        </w:rPr>
        <w:fldChar w:fldCharType="begin"/>
      </w:r>
      <w:r w:rsidRPr="00A0325F">
        <w:rPr>
          <w:b/>
          <w:noProof/>
        </w:rPr>
        <w:instrText xml:space="preserve"> TOC \t "Caption,1" \c "Figure" </w:instrText>
      </w:r>
      <w:r w:rsidRPr="00A0325F">
        <w:rPr>
          <w:b/>
          <w:noProof/>
        </w:rPr>
        <w:fldChar w:fldCharType="separate"/>
      </w:r>
      <w:r w:rsidR="006C6602" w:rsidRPr="00AF3F19">
        <w:rPr>
          <w:noProof/>
        </w:rPr>
        <w:t>ES-Table 1</w:t>
      </w:r>
      <w:r w:rsidR="006C6602" w:rsidRPr="00AF3F19">
        <w:rPr>
          <w:rFonts w:cs="Palatino Linotype"/>
          <w:noProof/>
        </w:rPr>
        <w:t>:  The Costs and Benefits of a 25% Cap on Virginia Gasoline and Diesel Emissions</w:t>
      </w:r>
      <w:r w:rsidR="006C6602">
        <w:rPr>
          <w:noProof/>
        </w:rPr>
        <w:tab/>
      </w:r>
      <w:r w:rsidR="006C6602">
        <w:rPr>
          <w:noProof/>
        </w:rPr>
        <w:fldChar w:fldCharType="begin"/>
      </w:r>
      <w:r w:rsidR="006C6602">
        <w:rPr>
          <w:noProof/>
        </w:rPr>
        <w:instrText xml:space="preserve"> PAGEREF _Toc55394591 \h </w:instrText>
      </w:r>
      <w:r w:rsidR="006C6602">
        <w:rPr>
          <w:noProof/>
        </w:rPr>
      </w:r>
      <w:r w:rsidR="006C6602">
        <w:rPr>
          <w:noProof/>
        </w:rPr>
        <w:fldChar w:fldCharType="separate"/>
      </w:r>
      <w:r w:rsidR="00C8735F">
        <w:rPr>
          <w:noProof/>
        </w:rPr>
        <w:t>8</w:t>
      </w:r>
      <w:r w:rsidR="006C6602">
        <w:rPr>
          <w:noProof/>
        </w:rPr>
        <w:fldChar w:fldCharType="end"/>
      </w:r>
    </w:p>
    <w:p w14:paraId="670DDB45" w14:textId="259BF7E5" w:rsidR="006C6602" w:rsidRDefault="006C6602">
      <w:pPr>
        <w:pStyle w:val="TableofFigures"/>
        <w:tabs>
          <w:tab w:val="right" w:leader="dot" w:pos="9350"/>
        </w:tabs>
        <w:rPr>
          <w:rFonts w:asciiTheme="minorHAnsi" w:eastAsiaTheme="minorEastAsia" w:hAnsiTheme="minorHAnsi" w:cstheme="minorBidi"/>
          <w:noProof/>
        </w:rPr>
      </w:pPr>
      <w:r w:rsidRPr="00AF3F19">
        <w:rPr>
          <w:noProof/>
        </w:rPr>
        <w:t>Table 2: Gasoline and Diesel Fuel GHG Emissions for Selected Years</w:t>
      </w:r>
      <w:r>
        <w:rPr>
          <w:noProof/>
        </w:rPr>
        <w:t xml:space="preserve"> (MMTCO2E)</w:t>
      </w:r>
      <w:r>
        <w:rPr>
          <w:noProof/>
        </w:rPr>
        <w:tab/>
      </w:r>
      <w:r>
        <w:rPr>
          <w:noProof/>
        </w:rPr>
        <w:fldChar w:fldCharType="begin"/>
      </w:r>
      <w:r>
        <w:rPr>
          <w:noProof/>
        </w:rPr>
        <w:instrText xml:space="preserve"> PAGEREF _Toc55394592 \h </w:instrText>
      </w:r>
      <w:r>
        <w:rPr>
          <w:noProof/>
        </w:rPr>
      </w:r>
      <w:r>
        <w:rPr>
          <w:noProof/>
        </w:rPr>
        <w:fldChar w:fldCharType="separate"/>
      </w:r>
      <w:r w:rsidR="00C8735F">
        <w:rPr>
          <w:noProof/>
        </w:rPr>
        <w:t>18</w:t>
      </w:r>
      <w:r>
        <w:rPr>
          <w:noProof/>
        </w:rPr>
        <w:fldChar w:fldCharType="end"/>
      </w:r>
    </w:p>
    <w:p w14:paraId="19A1D470" w14:textId="6C802AD5" w:rsidR="006C6602" w:rsidRDefault="006C6602">
      <w:pPr>
        <w:pStyle w:val="TableofFigures"/>
        <w:tabs>
          <w:tab w:val="right" w:leader="dot" w:pos="9350"/>
        </w:tabs>
        <w:rPr>
          <w:rFonts w:asciiTheme="minorHAnsi" w:eastAsiaTheme="minorEastAsia" w:hAnsiTheme="minorHAnsi" w:cstheme="minorBidi"/>
          <w:noProof/>
        </w:rPr>
      </w:pPr>
      <w:r w:rsidRPr="00AF3F19">
        <w:rPr>
          <w:rFonts w:eastAsia="Calibri"/>
          <w:noProof/>
        </w:rPr>
        <w:t>Table 3: Baseline Gasoline and Diesel GHG Emissions Projections (MMTCO2E)</w:t>
      </w:r>
      <w:r>
        <w:rPr>
          <w:noProof/>
        </w:rPr>
        <w:tab/>
      </w:r>
      <w:r>
        <w:rPr>
          <w:noProof/>
        </w:rPr>
        <w:fldChar w:fldCharType="begin"/>
      </w:r>
      <w:r>
        <w:rPr>
          <w:noProof/>
        </w:rPr>
        <w:instrText xml:space="preserve"> PAGEREF _Toc55394593 \h </w:instrText>
      </w:r>
      <w:r>
        <w:rPr>
          <w:noProof/>
        </w:rPr>
      </w:r>
      <w:r>
        <w:rPr>
          <w:noProof/>
        </w:rPr>
        <w:fldChar w:fldCharType="separate"/>
      </w:r>
      <w:r w:rsidR="00C8735F">
        <w:rPr>
          <w:noProof/>
        </w:rPr>
        <w:t>19</w:t>
      </w:r>
      <w:r>
        <w:rPr>
          <w:noProof/>
        </w:rPr>
        <w:fldChar w:fldCharType="end"/>
      </w:r>
    </w:p>
    <w:p w14:paraId="705F9584" w14:textId="495B9180" w:rsidR="006C6602" w:rsidRDefault="006C6602">
      <w:pPr>
        <w:pStyle w:val="TableofFigures"/>
        <w:tabs>
          <w:tab w:val="right" w:leader="dot" w:pos="9350"/>
        </w:tabs>
        <w:rPr>
          <w:rFonts w:asciiTheme="minorHAnsi" w:eastAsiaTheme="minorEastAsia" w:hAnsiTheme="minorHAnsi" w:cstheme="minorBidi"/>
          <w:noProof/>
        </w:rPr>
      </w:pPr>
      <w:r w:rsidRPr="00AF3F19">
        <w:rPr>
          <w:noProof/>
        </w:rPr>
        <w:t>Table 4</w:t>
      </w:r>
      <w:r w:rsidRPr="00AF3F19">
        <w:rPr>
          <w:rFonts w:cs="Palatino Linotype"/>
          <w:noProof/>
        </w:rPr>
        <w:t>:  The Costs and Benefits of a 20% Emissions Cap on Virginia</w:t>
      </w:r>
      <w:r>
        <w:rPr>
          <w:noProof/>
        </w:rPr>
        <w:tab/>
      </w:r>
      <w:r>
        <w:rPr>
          <w:noProof/>
        </w:rPr>
        <w:fldChar w:fldCharType="begin"/>
      </w:r>
      <w:r>
        <w:rPr>
          <w:noProof/>
        </w:rPr>
        <w:instrText xml:space="preserve"> PAGEREF _Toc55394594 \h </w:instrText>
      </w:r>
      <w:r>
        <w:rPr>
          <w:noProof/>
        </w:rPr>
      </w:r>
      <w:r>
        <w:rPr>
          <w:noProof/>
        </w:rPr>
        <w:fldChar w:fldCharType="separate"/>
      </w:r>
      <w:r w:rsidR="00C8735F">
        <w:rPr>
          <w:noProof/>
        </w:rPr>
        <w:t>23</w:t>
      </w:r>
      <w:r>
        <w:rPr>
          <w:noProof/>
        </w:rPr>
        <w:fldChar w:fldCharType="end"/>
      </w:r>
    </w:p>
    <w:p w14:paraId="1DF7D813" w14:textId="16CAD435" w:rsidR="006C6602" w:rsidRDefault="006C6602">
      <w:pPr>
        <w:pStyle w:val="TableofFigures"/>
        <w:tabs>
          <w:tab w:val="right" w:leader="dot" w:pos="9350"/>
        </w:tabs>
        <w:rPr>
          <w:rFonts w:asciiTheme="minorHAnsi" w:eastAsiaTheme="minorEastAsia" w:hAnsiTheme="minorHAnsi" w:cstheme="minorBidi"/>
          <w:noProof/>
        </w:rPr>
      </w:pPr>
      <w:r w:rsidRPr="00AF3F19">
        <w:rPr>
          <w:noProof/>
        </w:rPr>
        <w:t>Table 5:  The Costs and Benefits of a 22.5% Emissions Cap on Virginia</w:t>
      </w:r>
      <w:r>
        <w:rPr>
          <w:noProof/>
        </w:rPr>
        <w:tab/>
      </w:r>
      <w:r>
        <w:rPr>
          <w:noProof/>
        </w:rPr>
        <w:fldChar w:fldCharType="begin"/>
      </w:r>
      <w:r>
        <w:rPr>
          <w:noProof/>
        </w:rPr>
        <w:instrText xml:space="preserve"> PAGEREF _Toc55394595 \h </w:instrText>
      </w:r>
      <w:r>
        <w:rPr>
          <w:noProof/>
        </w:rPr>
      </w:r>
      <w:r>
        <w:rPr>
          <w:noProof/>
        </w:rPr>
        <w:fldChar w:fldCharType="separate"/>
      </w:r>
      <w:r w:rsidR="00C8735F">
        <w:rPr>
          <w:noProof/>
        </w:rPr>
        <w:t>23</w:t>
      </w:r>
      <w:r>
        <w:rPr>
          <w:noProof/>
        </w:rPr>
        <w:fldChar w:fldCharType="end"/>
      </w:r>
    </w:p>
    <w:p w14:paraId="482912C4" w14:textId="50F8C8C9" w:rsidR="006C6602" w:rsidRDefault="006C6602">
      <w:pPr>
        <w:pStyle w:val="TableofFigures"/>
        <w:tabs>
          <w:tab w:val="right" w:leader="dot" w:pos="9350"/>
        </w:tabs>
        <w:rPr>
          <w:rFonts w:asciiTheme="minorHAnsi" w:eastAsiaTheme="minorEastAsia" w:hAnsiTheme="minorHAnsi" w:cstheme="minorBidi"/>
          <w:noProof/>
        </w:rPr>
      </w:pPr>
      <w:r w:rsidRPr="00AF3F19">
        <w:rPr>
          <w:noProof/>
          <w:color w:val="000000" w:themeColor="text1"/>
        </w:rPr>
        <w:t>Table 6</w:t>
      </w:r>
      <w:r w:rsidRPr="00AF3F19">
        <w:rPr>
          <w:rFonts w:cs="Palatino Linotype"/>
          <w:noProof/>
          <w:color w:val="000000" w:themeColor="text1"/>
        </w:rPr>
        <w:t>:  The Costs and Benefits of a 25% Emissions Cap on Virginia</w:t>
      </w:r>
      <w:r>
        <w:rPr>
          <w:noProof/>
        </w:rPr>
        <w:tab/>
      </w:r>
      <w:r>
        <w:rPr>
          <w:noProof/>
        </w:rPr>
        <w:fldChar w:fldCharType="begin"/>
      </w:r>
      <w:r>
        <w:rPr>
          <w:noProof/>
        </w:rPr>
        <w:instrText xml:space="preserve"> PAGEREF _Toc55394596 \h </w:instrText>
      </w:r>
      <w:r>
        <w:rPr>
          <w:noProof/>
        </w:rPr>
      </w:r>
      <w:r>
        <w:rPr>
          <w:noProof/>
        </w:rPr>
        <w:fldChar w:fldCharType="separate"/>
      </w:r>
      <w:r w:rsidR="00C8735F">
        <w:rPr>
          <w:noProof/>
        </w:rPr>
        <w:t>24</w:t>
      </w:r>
      <w:r>
        <w:rPr>
          <w:noProof/>
        </w:rPr>
        <w:fldChar w:fldCharType="end"/>
      </w:r>
    </w:p>
    <w:p w14:paraId="6AC1B614" w14:textId="552340BA" w:rsidR="006C6602" w:rsidRDefault="006C6602">
      <w:pPr>
        <w:pStyle w:val="TableofFigures"/>
        <w:tabs>
          <w:tab w:val="right" w:leader="dot" w:pos="9350"/>
        </w:tabs>
        <w:rPr>
          <w:rFonts w:asciiTheme="minorHAnsi" w:eastAsiaTheme="minorEastAsia" w:hAnsiTheme="minorHAnsi" w:cstheme="minorBidi"/>
          <w:noProof/>
        </w:rPr>
      </w:pPr>
      <w:r w:rsidRPr="00AF3F19">
        <w:rPr>
          <w:iCs/>
          <w:noProof/>
        </w:rPr>
        <w:t>Table A1: Elasticities of Demand for Finished Gasoline and On-Road Diesel</w:t>
      </w:r>
      <w:r>
        <w:rPr>
          <w:noProof/>
        </w:rPr>
        <w:tab/>
      </w:r>
      <w:r>
        <w:rPr>
          <w:noProof/>
        </w:rPr>
        <w:fldChar w:fldCharType="begin"/>
      </w:r>
      <w:r>
        <w:rPr>
          <w:noProof/>
        </w:rPr>
        <w:instrText xml:space="preserve"> PAGEREF _Toc55394597 \h </w:instrText>
      </w:r>
      <w:r>
        <w:rPr>
          <w:noProof/>
        </w:rPr>
      </w:r>
      <w:r>
        <w:rPr>
          <w:noProof/>
        </w:rPr>
        <w:fldChar w:fldCharType="separate"/>
      </w:r>
      <w:r w:rsidR="00C8735F">
        <w:rPr>
          <w:noProof/>
        </w:rPr>
        <w:t>27</w:t>
      </w:r>
      <w:r>
        <w:rPr>
          <w:noProof/>
        </w:rPr>
        <w:fldChar w:fldCharType="end"/>
      </w:r>
    </w:p>
    <w:p w14:paraId="317ADD08" w14:textId="2473050B" w:rsidR="00997D46" w:rsidRPr="009314DF" w:rsidRDefault="006E643F" w:rsidP="003E1DDA">
      <w:pPr>
        <w:pStyle w:val="TOC1"/>
        <w:rPr>
          <w:b/>
        </w:rPr>
      </w:pPr>
      <w:r w:rsidRPr="00A0325F">
        <w:rPr>
          <w:b/>
          <w:noProof/>
        </w:rPr>
        <w:fldChar w:fldCharType="end"/>
      </w:r>
    </w:p>
    <w:p w14:paraId="07CFA457" w14:textId="090DF34E" w:rsidR="004C7282" w:rsidRDefault="004C7282" w:rsidP="004C7282"/>
    <w:p w14:paraId="773BB3F3" w14:textId="48736F75" w:rsidR="006F43B0" w:rsidRDefault="006F43B0" w:rsidP="004C7282"/>
    <w:p w14:paraId="0F87B0DA" w14:textId="63984A66" w:rsidR="006F43B0" w:rsidRDefault="006F43B0" w:rsidP="004C7282"/>
    <w:p w14:paraId="646B1587" w14:textId="3A2ED7A4" w:rsidR="006F43B0" w:rsidRDefault="006F43B0" w:rsidP="004C7282"/>
    <w:p w14:paraId="321381E6" w14:textId="316B2DCC" w:rsidR="003E1DDA" w:rsidRDefault="003E1DDA" w:rsidP="004C7282"/>
    <w:p w14:paraId="0D9F20B2" w14:textId="77777777" w:rsidR="00544558" w:rsidRPr="00CB38A1" w:rsidRDefault="00544558" w:rsidP="00544558">
      <w:pPr>
        <w:rPr>
          <w:rFonts w:ascii="Palatino Linotype" w:hAnsi="Palatino Linotype"/>
          <w:b/>
          <w:bCs/>
          <w:sz w:val="32"/>
          <w:szCs w:val="32"/>
        </w:rPr>
      </w:pPr>
      <w:r w:rsidRPr="00CB38A1">
        <w:rPr>
          <w:rFonts w:ascii="Palatino Linotype" w:hAnsi="Palatino Linotype"/>
          <w:b/>
          <w:bCs/>
          <w:sz w:val="32"/>
          <w:szCs w:val="32"/>
        </w:rPr>
        <w:lastRenderedPageBreak/>
        <w:t>Foreword</w:t>
      </w:r>
    </w:p>
    <w:p w14:paraId="2CB5F487" w14:textId="77777777" w:rsidR="00544558" w:rsidRPr="001E728E" w:rsidRDefault="00544558" w:rsidP="00544558">
      <w:pPr>
        <w:rPr>
          <w:rFonts w:ascii="Times New Roman" w:hAnsi="Times New Roman"/>
          <w:szCs w:val="24"/>
        </w:rPr>
      </w:pPr>
    </w:p>
    <w:p w14:paraId="5B72AACB" w14:textId="77777777" w:rsidR="00544558" w:rsidRPr="00544558" w:rsidRDefault="00544558" w:rsidP="00544558">
      <w:pPr>
        <w:ind w:firstLine="720"/>
        <w:rPr>
          <w:rFonts w:ascii="Palatino Linotype" w:hAnsi="Palatino Linotype"/>
          <w:szCs w:val="24"/>
        </w:rPr>
      </w:pPr>
      <w:r w:rsidRPr="00544558">
        <w:rPr>
          <w:rFonts w:ascii="Palatino Linotype" w:hAnsi="Palatino Linotype"/>
          <w:szCs w:val="24"/>
        </w:rPr>
        <w:t xml:space="preserve">It has been said all models are wrong, but some models are useful.  At our request, and in response to similar requests from stakeholders in other states, the Beacon Hill Institute for Public Policy (BHI) has done its own modeling on the potential climate and economic impacts of the proposed Transportation and Climate Initiative (TCI).  </w:t>
      </w:r>
    </w:p>
    <w:p w14:paraId="590F2016" w14:textId="77777777" w:rsidR="00544558" w:rsidRPr="00544558" w:rsidRDefault="00544558" w:rsidP="00544558">
      <w:pPr>
        <w:rPr>
          <w:rFonts w:ascii="Palatino Linotype" w:hAnsi="Palatino Linotype"/>
          <w:szCs w:val="24"/>
        </w:rPr>
      </w:pPr>
    </w:p>
    <w:p w14:paraId="344ECCE0" w14:textId="77777777" w:rsidR="00544558" w:rsidRPr="00544558" w:rsidRDefault="00544558" w:rsidP="00544558">
      <w:pPr>
        <w:ind w:firstLine="720"/>
        <w:rPr>
          <w:rFonts w:ascii="Palatino Linotype" w:hAnsi="Palatino Linotype"/>
          <w:szCs w:val="24"/>
        </w:rPr>
      </w:pPr>
      <w:r w:rsidRPr="00544558">
        <w:rPr>
          <w:rFonts w:ascii="Palatino Linotype" w:hAnsi="Palatino Linotype"/>
          <w:szCs w:val="24"/>
        </w:rPr>
        <w:t>The TCI compact of 12 states and the District of Columbia proposes to cap, tax, and trade allowances for CO2 emissions and gradually reduce the use of fossil fuels for transportation within the Virginia to Maine region.  Our participation starting in 2022 will be decided by the 2021 Virginia General Assembly.</w:t>
      </w:r>
    </w:p>
    <w:p w14:paraId="4E1681E5" w14:textId="77777777" w:rsidR="00544558" w:rsidRPr="00544558" w:rsidRDefault="00544558" w:rsidP="00544558">
      <w:pPr>
        <w:rPr>
          <w:rFonts w:ascii="Palatino Linotype" w:hAnsi="Palatino Linotype"/>
          <w:szCs w:val="24"/>
        </w:rPr>
      </w:pPr>
    </w:p>
    <w:p w14:paraId="508203D5" w14:textId="77777777" w:rsidR="00544558" w:rsidRPr="00544558" w:rsidRDefault="00544558" w:rsidP="00544558">
      <w:pPr>
        <w:ind w:firstLine="720"/>
        <w:rPr>
          <w:rFonts w:ascii="Palatino Linotype" w:hAnsi="Palatino Linotype"/>
          <w:szCs w:val="24"/>
        </w:rPr>
      </w:pPr>
      <w:r w:rsidRPr="00544558">
        <w:rPr>
          <w:rFonts w:ascii="Palatino Linotype" w:hAnsi="Palatino Linotype"/>
          <w:szCs w:val="24"/>
        </w:rPr>
        <w:t xml:space="preserve">The results from Beacon Hill’s review differ dramatically from the modeling produced by advocates for the regional compact and point to some major flaws in the assumptions behind arguments for TCI.  It projects higher costs for on-road motor fuels, major economic downsides, and negligible environmental benefits.  A previous analysis in 2019 disputed the claimed health benefits from reduced fuel usage. </w:t>
      </w:r>
    </w:p>
    <w:p w14:paraId="26D9F3D2" w14:textId="77777777" w:rsidR="00544558" w:rsidRPr="00544558" w:rsidRDefault="00544558" w:rsidP="00544558">
      <w:pPr>
        <w:rPr>
          <w:rFonts w:ascii="Palatino Linotype" w:hAnsi="Palatino Linotype"/>
          <w:szCs w:val="24"/>
        </w:rPr>
      </w:pPr>
    </w:p>
    <w:p w14:paraId="126B9948" w14:textId="77777777" w:rsidR="00544558" w:rsidRPr="00544558" w:rsidRDefault="00544558" w:rsidP="00544558">
      <w:pPr>
        <w:ind w:firstLine="720"/>
        <w:rPr>
          <w:rFonts w:ascii="Palatino Linotype" w:hAnsi="Palatino Linotype"/>
          <w:szCs w:val="24"/>
        </w:rPr>
      </w:pPr>
      <w:r w:rsidRPr="00544558">
        <w:rPr>
          <w:rFonts w:ascii="Palatino Linotype" w:hAnsi="Palatino Linotype"/>
          <w:szCs w:val="24"/>
        </w:rPr>
        <w:t xml:space="preserve">The cap and trade scheme could force up retail gasoline prices by 33 cents per gallon in Virginia, substantially higher than the initial 17 cents per gallon projected by the advocates, with the impact even greater on the cost of diesel fuel in some states.  One oversight in the analysis done by TCI advocates was failing to recognize diesel will respond differently than gasoline to the rationing imposed.  BHI expects an increase of 28 cents per gallon to diesel costs in Virginia. </w:t>
      </w:r>
    </w:p>
    <w:p w14:paraId="44E41867" w14:textId="77777777" w:rsidR="00544558" w:rsidRPr="00544558" w:rsidRDefault="00544558" w:rsidP="00544558">
      <w:pPr>
        <w:rPr>
          <w:rFonts w:ascii="Palatino Linotype" w:hAnsi="Palatino Linotype"/>
          <w:szCs w:val="24"/>
        </w:rPr>
      </w:pPr>
    </w:p>
    <w:p w14:paraId="7D88F890" w14:textId="77777777" w:rsidR="00544558" w:rsidRPr="00544558" w:rsidRDefault="00544558" w:rsidP="00544558">
      <w:pPr>
        <w:ind w:firstLine="720"/>
        <w:rPr>
          <w:rFonts w:ascii="Palatino Linotype" w:hAnsi="Palatino Linotype"/>
          <w:szCs w:val="24"/>
        </w:rPr>
      </w:pPr>
      <w:r w:rsidRPr="00544558">
        <w:rPr>
          <w:rFonts w:ascii="Palatino Linotype" w:hAnsi="Palatino Linotype"/>
          <w:szCs w:val="24"/>
        </w:rPr>
        <w:t xml:space="preserve">These will, of course, be in addition to the Virginia gasoline and diesel tax hikes already approved by the 2020 Virginia General Assembly, scheduled to basically double those taxes by next July for much of Virginia.  TCI’s carbon tax could nearly double them again. </w:t>
      </w:r>
    </w:p>
    <w:p w14:paraId="0AB4A1A7" w14:textId="77777777" w:rsidR="00544558" w:rsidRPr="00544558" w:rsidRDefault="00544558" w:rsidP="00544558">
      <w:pPr>
        <w:rPr>
          <w:rFonts w:ascii="Palatino Linotype" w:hAnsi="Palatino Linotype"/>
          <w:szCs w:val="24"/>
        </w:rPr>
      </w:pPr>
    </w:p>
    <w:p w14:paraId="4EAA4887" w14:textId="77777777" w:rsidR="00544558" w:rsidRPr="00544558" w:rsidRDefault="00544558" w:rsidP="00544558">
      <w:pPr>
        <w:ind w:firstLine="720"/>
        <w:rPr>
          <w:rFonts w:ascii="Palatino Linotype" w:hAnsi="Palatino Linotype"/>
          <w:szCs w:val="24"/>
        </w:rPr>
      </w:pPr>
      <w:r w:rsidRPr="00544558">
        <w:rPr>
          <w:rFonts w:ascii="Palatino Linotype" w:hAnsi="Palatino Linotype"/>
          <w:szCs w:val="24"/>
        </w:rPr>
        <w:t xml:space="preserve">Even with the substantially higher allowance prices that BHI expects, the 12-state region will struggle to achieve the targeted 25% reduction in transportation fuel use and thus CO2 emissions over the years.  </w:t>
      </w:r>
    </w:p>
    <w:p w14:paraId="75AD3A1B" w14:textId="77777777" w:rsidR="00544558" w:rsidRPr="00544558" w:rsidRDefault="00544558" w:rsidP="00544558">
      <w:pPr>
        <w:rPr>
          <w:rFonts w:ascii="Palatino Linotype" w:hAnsi="Palatino Linotype"/>
          <w:szCs w:val="24"/>
        </w:rPr>
      </w:pPr>
    </w:p>
    <w:p w14:paraId="119B2090" w14:textId="77777777" w:rsidR="00544558" w:rsidRPr="00544558" w:rsidRDefault="00544558" w:rsidP="00544558">
      <w:pPr>
        <w:ind w:firstLine="720"/>
        <w:rPr>
          <w:rFonts w:ascii="Palatino Linotype" w:hAnsi="Palatino Linotype"/>
          <w:szCs w:val="24"/>
        </w:rPr>
      </w:pPr>
      <w:r w:rsidRPr="00544558">
        <w:rPr>
          <w:rFonts w:ascii="Palatino Linotype" w:hAnsi="Palatino Linotype"/>
          <w:szCs w:val="24"/>
        </w:rPr>
        <w:t xml:space="preserve">As with any proposed tax increase on a basic and crucial economic commodity such as motor fuels, the economic impact ripples through the entire economy.  </w:t>
      </w:r>
      <w:r w:rsidRPr="00544558">
        <w:rPr>
          <w:rFonts w:ascii="Palatino Linotype" w:hAnsi="Palatino Linotype"/>
          <w:szCs w:val="24"/>
        </w:rPr>
        <w:lastRenderedPageBreak/>
        <w:t xml:space="preserve">Virginians will pay more at the pump but also pay more for all the goods and services dependent on transportation, adding hundreds of dollars of cost per household per year.  BHI also projects lower investment, job creation and household income because of the taxes and fuel rationing.  </w:t>
      </w:r>
    </w:p>
    <w:p w14:paraId="073CE671" w14:textId="77777777" w:rsidR="00544558" w:rsidRPr="00544558" w:rsidRDefault="00544558" w:rsidP="00544558">
      <w:pPr>
        <w:rPr>
          <w:rFonts w:ascii="Palatino Linotype" w:hAnsi="Palatino Linotype"/>
          <w:szCs w:val="24"/>
        </w:rPr>
      </w:pPr>
    </w:p>
    <w:p w14:paraId="46614462" w14:textId="77777777" w:rsidR="00544558" w:rsidRPr="00544558" w:rsidRDefault="00544558" w:rsidP="00544558">
      <w:pPr>
        <w:ind w:firstLine="720"/>
        <w:rPr>
          <w:rFonts w:ascii="Palatino Linotype" w:hAnsi="Palatino Linotype"/>
          <w:szCs w:val="24"/>
        </w:rPr>
      </w:pPr>
      <w:r w:rsidRPr="00544558">
        <w:rPr>
          <w:rFonts w:ascii="Palatino Linotype" w:hAnsi="Palatino Linotype"/>
          <w:szCs w:val="24"/>
        </w:rPr>
        <w:t xml:space="preserve">The economic costs of TCI dwarf by orders of magnitude any potential benefit from reduced emissions, even using the Dynamic Integrated Climate-Economy (DICE) model used by the U.S. Environmental Protection Agency to calculate a social cost of carbon.  If TCI does exactly what it promises, the reduction in CO2 produced is small even for the region, and infinitesimal on the global scale. </w:t>
      </w:r>
    </w:p>
    <w:p w14:paraId="1C893A72" w14:textId="77777777" w:rsidR="00544558" w:rsidRPr="00544558" w:rsidRDefault="00544558" w:rsidP="00544558">
      <w:pPr>
        <w:rPr>
          <w:rFonts w:ascii="Palatino Linotype" w:hAnsi="Palatino Linotype"/>
          <w:szCs w:val="24"/>
        </w:rPr>
      </w:pPr>
    </w:p>
    <w:p w14:paraId="5793EEE5" w14:textId="77777777" w:rsidR="00544558" w:rsidRPr="00544558" w:rsidRDefault="00544558" w:rsidP="00544558">
      <w:pPr>
        <w:ind w:firstLine="720"/>
        <w:rPr>
          <w:rFonts w:ascii="Palatino Linotype" w:hAnsi="Palatino Linotype"/>
          <w:szCs w:val="24"/>
        </w:rPr>
      </w:pPr>
      <w:r w:rsidRPr="00544558">
        <w:rPr>
          <w:rFonts w:ascii="Palatino Linotype" w:hAnsi="Palatino Linotype"/>
          <w:szCs w:val="24"/>
        </w:rPr>
        <w:t xml:space="preserve">The Transportation and Climate Initiative will not do what it promises.  Other efforts to cap emissions in this manner have not lived up to their projections.  </w:t>
      </w:r>
    </w:p>
    <w:p w14:paraId="6140ABF8" w14:textId="77777777" w:rsidR="00544558" w:rsidRPr="00544558" w:rsidRDefault="00544558" w:rsidP="00544558">
      <w:pPr>
        <w:rPr>
          <w:rFonts w:ascii="Palatino Linotype" w:hAnsi="Palatino Linotype"/>
          <w:szCs w:val="24"/>
        </w:rPr>
      </w:pPr>
    </w:p>
    <w:p w14:paraId="09122EB3" w14:textId="77777777" w:rsidR="00544558" w:rsidRPr="00544558" w:rsidRDefault="00544558" w:rsidP="00544558">
      <w:pPr>
        <w:ind w:firstLine="720"/>
        <w:rPr>
          <w:rFonts w:ascii="Palatino Linotype" w:hAnsi="Palatino Linotype"/>
          <w:szCs w:val="24"/>
        </w:rPr>
      </w:pPr>
      <w:r w:rsidRPr="00544558">
        <w:rPr>
          <w:rFonts w:ascii="Palatino Linotype" w:hAnsi="Palatino Linotype"/>
          <w:szCs w:val="24"/>
        </w:rPr>
        <w:t xml:space="preserve">TCI is based on unrealistic assumptions about the ability of the economy to move quickly away from fossil fuels toward electric vehicles, especially commercial activity dependent upon diesel.  It is based on unrealistic assumptions about future demand. As to the actual retail cost of these fuels in years to come, with or without the added carbon taxes, history even before this recession showed they defy prediction.  Projecting five years out is unreliable and projecting ten years out is futile.  But the outcome of the TCI models depend on such long term projections.  </w:t>
      </w:r>
    </w:p>
    <w:p w14:paraId="19964832" w14:textId="77777777" w:rsidR="00544558" w:rsidRPr="00544558" w:rsidRDefault="00544558" w:rsidP="00544558">
      <w:pPr>
        <w:rPr>
          <w:rFonts w:ascii="Palatino Linotype" w:hAnsi="Palatino Linotype"/>
          <w:szCs w:val="24"/>
        </w:rPr>
      </w:pPr>
    </w:p>
    <w:p w14:paraId="355C5E5C" w14:textId="77777777" w:rsidR="00544558" w:rsidRPr="00544558" w:rsidRDefault="00544558" w:rsidP="00544558">
      <w:pPr>
        <w:ind w:firstLine="720"/>
        <w:rPr>
          <w:rFonts w:ascii="Palatino Linotype" w:hAnsi="Palatino Linotype"/>
          <w:szCs w:val="24"/>
        </w:rPr>
      </w:pPr>
      <w:r w:rsidRPr="00544558">
        <w:rPr>
          <w:rFonts w:ascii="Palatino Linotype" w:hAnsi="Palatino Linotype"/>
          <w:szCs w:val="24"/>
        </w:rPr>
        <w:t xml:space="preserve">Stripped of its pretenses, this is just a tax increase – but one that is unpredictable and unreliable.  The money collected by damaging our economy in this way will not produce improved transportation, better health, better economic outcomes, or lower future air temperatures.  A General Assembly that directs the tax revenue to be spent one way can be reversed by a future General Assembly, which spends it somewhere else. </w:t>
      </w:r>
    </w:p>
    <w:p w14:paraId="339CD21B" w14:textId="77777777" w:rsidR="00544558" w:rsidRPr="00544558" w:rsidRDefault="00544558" w:rsidP="00544558">
      <w:pPr>
        <w:rPr>
          <w:rFonts w:ascii="Palatino Linotype" w:hAnsi="Palatino Linotype"/>
          <w:szCs w:val="24"/>
        </w:rPr>
      </w:pPr>
    </w:p>
    <w:p w14:paraId="223511C1" w14:textId="10A6DD52" w:rsidR="00544558" w:rsidRDefault="00544558" w:rsidP="00544558">
      <w:pPr>
        <w:ind w:firstLine="720"/>
        <w:rPr>
          <w:rFonts w:ascii="Palatino Linotype" w:hAnsi="Palatino Linotype"/>
          <w:szCs w:val="24"/>
        </w:rPr>
      </w:pPr>
      <w:r w:rsidRPr="00544558">
        <w:rPr>
          <w:rFonts w:ascii="Palatino Linotype" w:hAnsi="Palatino Linotype"/>
          <w:szCs w:val="24"/>
        </w:rPr>
        <w:t xml:space="preserve">Virginia should decline to join this compact. </w:t>
      </w:r>
    </w:p>
    <w:p w14:paraId="6C855DF1" w14:textId="5371C782" w:rsidR="00CE730C" w:rsidRDefault="00CE730C" w:rsidP="00544558">
      <w:pPr>
        <w:ind w:firstLine="720"/>
        <w:rPr>
          <w:rFonts w:ascii="Palatino Linotype" w:hAnsi="Palatino Linotype"/>
          <w:szCs w:val="24"/>
        </w:rPr>
      </w:pPr>
    </w:p>
    <w:p w14:paraId="4EFFA1DD" w14:textId="3FF17ABE" w:rsidR="00CE730C" w:rsidRDefault="00CE730C" w:rsidP="00544558">
      <w:pPr>
        <w:ind w:firstLine="720"/>
        <w:rPr>
          <w:rFonts w:ascii="Palatino Linotype" w:hAnsi="Palatino Linotype"/>
          <w:szCs w:val="24"/>
        </w:rPr>
      </w:pPr>
    </w:p>
    <w:p w14:paraId="2DFEB499" w14:textId="46E64B78" w:rsidR="00CE730C" w:rsidRDefault="00CF529F" w:rsidP="00CF529F">
      <w:pPr>
        <w:ind w:firstLine="720"/>
        <w:jc w:val="right"/>
        <w:rPr>
          <w:rFonts w:ascii="Palatino Linotype" w:hAnsi="Palatino Linotype"/>
          <w:szCs w:val="24"/>
        </w:rPr>
      </w:pPr>
      <w:r>
        <w:rPr>
          <w:noProof/>
        </w:rPr>
        <w:drawing>
          <wp:inline distT="0" distB="0" distL="0" distR="0" wp14:anchorId="77239AFF" wp14:editId="5A73F698">
            <wp:extent cx="1568450" cy="67916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4095" cy="698926"/>
                    </a:xfrm>
                    <a:prstGeom prst="rect">
                      <a:avLst/>
                    </a:prstGeom>
                    <a:noFill/>
                    <a:ln>
                      <a:noFill/>
                    </a:ln>
                  </pic:spPr>
                </pic:pic>
              </a:graphicData>
            </a:graphic>
          </wp:inline>
        </w:drawing>
      </w:r>
    </w:p>
    <w:p w14:paraId="539E7D9D" w14:textId="4D1C3A3B" w:rsidR="00CE730C" w:rsidRDefault="00CE730C" w:rsidP="00CE730C">
      <w:pPr>
        <w:ind w:firstLine="720"/>
        <w:jc w:val="right"/>
        <w:rPr>
          <w:rFonts w:ascii="Palatino Linotype" w:hAnsi="Palatino Linotype"/>
          <w:szCs w:val="24"/>
        </w:rPr>
      </w:pPr>
      <w:r>
        <w:rPr>
          <w:rFonts w:ascii="Palatino Linotype" w:hAnsi="Palatino Linotype"/>
          <w:szCs w:val="24"/>
        </w:rPr>
        <w:t>Christian N. Braunlich</w:t>
      </w:r>
    </w:p>
    <w:p w14:paraId="4EF2C42C" w14:textId="40873A56" w:rsidR="00CE730C" w:rsidRDefault="00CE730C" w:rsidP="00CE730C">
      <w:pPr>
        <w:ind w:firstLine="720"/>
        <w:jc w:val="right"/>
        <w:rPr>
          <w:rFonts w:ascii="Palatino Linotype" w:hAnsi="Palatino Linotype"/>
          <w:szCs w:val="24"/>
        </w:rPr>
      </w:pPr>
      <w:r>
        <w:rPr>
          <w:rFonts w:ascii="Palatino Linotype" w:hAnsi="Palatino Linotype"/>
          <w:szCs w:val="24"/>
        </w:rPr>
        <w:t>President</w:t>
      </w:r>
      <w:r w:rsidR="00CF529F">
        <w:rPr>
          <w:rFonts w:ascii="Palatino Linotype" w:hAnsi="Palatino Linotype"/>
          <w:szCs w:val="24"/>
        </w:rPr>
        <w:t>,</w:t>
      </w:r>
    </w:p>
    <w:p w14:paraId="1ED5B981" w14:textId="28FEB901" w:rsidR="00CF529F" w:rsidRPr="00544558" w:rsidRDefault="00CF529F" w:rsidP="00CE730C">
      <w:pPr>
        <w:ind w:firstLine="720"/>
        <w:jc w:val="right"/>
        <w:rPr>
          <w:rFonts w:ascii="Palatino Linotype" w:hAnsi="Palatino Linotype"/>
          <w:szCs w:val="24"/>
        </w:rPr>
      </w:pPr>
      <w:r>
        <w:rPr>
          <w:rFonts w:ascii="Palatino Linotype" w:hAnsi="Palatino Linotype"/>
          <w:szCs w:val="24"/>
        </w:rPr>
        <w:lastRenderedPageBreak/>
        <w:t>Thomas Jefferson Institute for Public Policy</w:t>
      </w:r>
    </w:p>
    <w:p w14:paraId="77C8AB65" w14:textId="68643C0C" w:rsidR="003E1DDA" w:rsidRDefault="003E1DDA" w:rsidP="004C7282"/>
    <w:p w14:paraId="1917EAC0" w14:textId="1C533E1A" w:rsidR="00997D46" w:rsidRDefault="00A3489F" w:rsidP="0046140B">
      <w:pPr>
        <w:pStyle w:val="Heading1"/>
        <w:rPr>
          <w:rFonts w:ascii="Palatino Linotype" w:hAnsi="Palatino Linotype"/>
          <w:b/>
          <w:noProof/>
          <w:sz w:val="32"/>
          <w:szCs w:val="32"/>
        </w:rPr>
      </w:pPr>
      <w:bookmarkStart w:id="0" w:name="_Toc55394580"/>
      <w:r w:rsidRPr="0046140B">
        <w:rPr>
          <w:rFonts w:ascii="Palatino Linotype" w:hAnsi="Palatino Linotype"/>
          <w:b/>
          <w:noProof/>
          <w:sz w:val="32"/>
          <w:szCs w:val="32"/>
        </w:rPr>
        <w:t>Executive Summary</w:t>
      </w:r>
      <w:bookmarkEnd w:id="0"/>
    </w:p>
    <w:p w14:paraId="12E18F08" w14:textId="77777777" w:rsidR="00FE470C" w:rsidRDefault="00FE470C" w:rsidP="00663B17">
      <w:pPr>
        <w:spacing w:line="360" w:lineRule="auto"/>
        <w:ind w:firstLine="720"/>
        <w:jc w:val="both"/>
        <w:rPr>
          <w:rFonts w:ascii="Palatino Linotype" w:hAnsi="Palatino Linotype"/>
        </w:rPr>
      </w:pPr>
    </w:p>
    <w:p w14:paraId="12C4F379" w14:textId="1845FB1F" w:rsidR="00007555" w:rsidRPr="00007555" w:rsidRDefault="00007555" w:rsidP="00007555">
      <w:pPr>
        <w:spacing w:line="360" w:lineRule="auto"/>
        <w:ind w:firstLine="720"/>
        <w:jc w:val="both"/>
        <w:rPr>
          <w:rFonts w:ascii="Palatino Linotype" w:hAnsi="Palatino Linotype"/>
        </w:rPr>
      </w:pPr>
      <w:r w:rsidRPr="00007555">
        <w:rPr>
          <w:rFonts w:ascii="Palatino Linotype" w:hAnsi="Palatino Linotype"/>
        </w:rPr>
        <w:t xml:space="preserve">The Transportation and Climate Initiative of the Northeast and Mid-Atlantic States (TCI) describes itself as “a regional collaboration of 12 Northeast and Mid-Atlantic states and the District of Columbia that seeks to improve transportation, develop the clean energy economy and reduce carbon emissions from the transportation sector.”  </w:t>
      </w:r>
      <w:r w:rsidR="00721219">
        <w:rPr>
          <w:rFonts w:ascii="Palatino Linotype" w:hAnsi="Palatino Linotype"/>
        </w:rPr>
        <w:t>Virginia</w:t>
      </w:r>
      <w:r w:rsidR="00063782">
        <w:rPr>
          <w:rFonts w:ascii="Palatino Linotype" w:hAnsi="Palatino Linotype"/>
        </w:rPr>
        <w:t xml:space="preserve"> </w:t>
      </w:r>
      <w:r w:rsidRPr="00007555">
        <w:rPr>
          <w:rFonts w:ascii="Palatino Linotype" w:hAnsi="Palatino Linotype"/>
        </w:rPr>
        <w:t>is a</w:t>
      </w:r>
      <w:r w:rsidR="005620A5">
        <w:rPr>
          <w:rFonts w:ascii="Palatino Linotype" w:hAnsi="Palatino Linotype"/>
        </w:rPr>
        <w:t xml:space="preserve"> potential</w:t>
      </w:r>
      <w:r w:rsidRPr="00007555">
        <w:rPr>
          <w:rFonts w:ascii="Palatino Linotype" w:hAnsi="Palatino Linotype"/>
        </w:rPr>
        <w:t xml:space="preserve"> participating state.</w:t>
      </w:r>
      <w:r w:rsidR="00226CED">
        <w:rPr>
          <w:rStyle w:val="FootnoteReference"/>
          <w:rFonts w:ascii="Palatino Linotype" w:hAnsi="Palatino Linotype"/>
        </w:rPr>
        <w:footnoteReference w:customMarkFollows="1" w:id="2"/>
        <w:t>1</w:t>
      </w:r>
    </w:p>
    <w:p w14:paraId="28BD1B16" w14:textId="548BB09B" w:rsidR="00007555" w:rsidRPr="00007555" w:rsidRDefault="00007555" w:rsidP="00007555">
      <w:pPr>
        <w:spacing w:line="360" w:lineRule="auto"/>
        <w:ind w:firstLine="720"/>
        <w:jc w:val="both"/>
        <w:rPr>
          <w:rFonts w:ascii="Palatino Linotype" w:hAnsi="Palatino Linotype"/>
        </w:rPr>
      </w:pPr>
      <w:r w:rsidRPr="00007555">
        <w:rPr>
          <w:rFonts w:ascii="Palatino Linotype" w:hAnsi="Palatino Linotype"/>
        </w:rPr>
        <w:t xml:space="preserve">The founding document </w:t>
      </w:r>
      <w:r w:rsidR="00181744">
        <w:rPr>
          <w:rFonts w:ascii="Palatino Linotype" w:hAnsi="Palatino Linotype"/>
        </w:rPr>
        <w:t>of</w:t>
      </w:r>
      <w:r w:rsidRPr="00007555">
        <w:rPr>
          <w:rFonts w:ascii="Palatino Linotype" w:hAnsi="Palatino Linotype"/>
        </w:rPr>
        <w:t xml:space="preserve"> the TCI is a “Declaration of Intent,” issued in 2010 and signed by transportation and environmental officials in 11 states.  The declaration states that the purpose of the TCI is “to reduce greenhouse gas emissions, minimize our transportation system’s reliance on high-carbon fuels, promote sustainable growth, address the challenges of vehicle-miles traveled and help build the green energy economy.”</w:t>
      </w:r>
      <w:r w:rsidR="00C944A9">
        <w:rPr>
          <w:rStyle w:val="FootnoteReference"/>
          <w:rFonts w:ascii="Palatino Linotype" w:hAnsi="Palatino Linotype"/>
        </w:rPr>
        <w:footnoteReference w:customMarkFollows="1" w:id="3"/>
        <w:t>2</w:t>
      </w:r>
      <w:r w:rsidRPr="00007555">
        <w:rPr>
          <w:rFonts w:ascii="Palatino Linotype" w:hAnsi="Palatino Linotype"/>
        </w:rPr>
        <w:t xml:space="preserve"> The Initiative is “facilitated” by the Georgetown Climate Center, which worked closely with the Obama administration in its efforts to design and implement climate change policies.</w:t>
      </w:r>
      <w:r w:rsidR="00C944A9">
        <w:rPr>
          <w:rStyle w:val="FootnoteReference"/>
          <w:rFonts w:ascii="Palatino Linotype" w:hAnsi="Palatino Linotype"/>
        </w:rPr>
        <w:footnoteReference w:customMarkFollows="1" w:id="4"/>
        <w:t>3</w:t>
      </w:r>
      <w:r w:rsidRPr="00007555">
        <w:rPr>
          <w:rFonts w:ascii="Palatino Linotype" w:hAnsi="Palatino Linotype"/>
        </w:rPr>
        <w:t xml:space="preserve">  </w:t>
      </w:r>
    </w:p>
    <w:p w14:paraId="79C4E252" w14:textId="7BD3D870" w:rsidR="00007555" w:rsidRPr="00007555" w:rsidRDefault="00007555" w:rsidP="00007555">
      <w:pPr>
        <w:spacing w:line="360" w:lineRule="auto"/>
        <w:ind w:firstLine="720"/>
        <w:jc w:val="both"/>
        <w:rPr>
          <w:rFonts w:ascii="Palatino Linotype" w:hAnsi="Palatino Linotype"/>
        </w:rPr>
      </w:pPr>
      <w:r w:rsidRPr="00007555">
        <w:rPr>
          <w:rFonts w:ascii="Palatino Linotype" w:hAnsi="Palatino Linotype"/>
        </w:rPr>
        <w:t xml:space="preserve">The Initiative would employ a method called “cap and invest” to achieve its goals.  Under </w:t>
      </w:r>
      <w:r w:rsidR="00176D6A">
        <w:rPr>
          <w:rFonts w:ascii="Palatino Linotype" w:hAnsi="Palatino Linotype"/>
        </w:rPr>
        <w:t>this</w:t>
      </w:r>
      <w:r w:rsidR="009B55D6">
        <w:rPr>
          <w:rFonts w:ascii="Palatino Linotype" w:hAnsi="Palatino Linotype"/>
        </w:rPr>
        <w:t xml:space="preserve"> </w:t>
      </w:r>
      <w:r w:rsidRPr="00007555">
        <w:rPr>
          <w:rFonts w:ascii="Palatino Linotype" w:hAnsi="Palatino Linotype"/>
        </w:rPr>
        <w:t xml:space="preserve">method, </w:t>
      </w:r>
      <w:r w:rsidR="009B55D6">
        <w:rPr>
          <w:rFonts w:ascii="Palatino Linotype" w:hAnsi="Palatino Linotype"/>
        </w:rPr>
        <w:t>a</w:t>
      </w:r>
      <w:r w:rsidRPr="00007555">
        <w:rPr>
          <w:rFonts w:ascii="Palatino Linotype" w:hAnsi="Palatino Linotype"/>
        </w:rPr>
        <w:t xml:space="preserve"> “program administrator” in a TCI jurisdiction would set a cap on the amount of emissions that fuel distributor</w:t>
      </w:r>
      <w:r w:rsidR="001901CC">
        <w:rPr>
          <w:rFonts w:ascii="Palatino Linotype" w:hAnsi="Palatino Linotype"/>
        </w:rPr>
        <w:t>s</w:t>
      </w:r>
      <w:r w:rsidRPr="00007555">
        <w:rPr>
          <w:rFonts w:ascii="Palatino Linotype" w:hAnsi="Palatino Linotype"/>
        </w:rPr>
        <w:t xml:space="preserve"> may produce. The initial cap would equal current baseline emissions, but the administrator would then, over time, reduce the cap as desired to reduce the total emissions being produced. </w:t>
      </w:r>
    </w:p>
    <w:p w14:paraId="112B60FF" w14:textId="5E835879" w:rsidR="00007555" w:rsidRPr="00007555" w:rsidRDefault="00E64AD6" w:rsidP="00007555">
      <w:pPr>
        <w:spacing w:line="360" w:lineRule="auto"/>
        <w:ind w:firstLine="720"/>
        <w:jc w:val="both"/>
        <w:rPr>
          <w:rFonts w:ascii="Palatino Linotype" w:hAnsi="Palatino Linotype"/>
        </w:rPr>
      </w:pPr>
      <w:r>
        <w:rPr>
          <w:rFonts w:ascii="Palatino Linotype" w:hAnsi="Palatino Linotype"/>
        </w:rPr>
        <w:lastRenderedPageBreak/>
        <w:t>A</w:t>
      </w:r>
      <w:r w:rsidR="00007555" w:rsidRPr="00007555">
        <w:rPr>
          <w:rFonts w:ascii="Palatino Linotype" w:hAnsi="Palatino Linotype"/>
        </w:rPr>
        <w:t xml:space="preserve"> fuel distributor would have to obtain an “allowance” for every ton of </w:t>
      </w:r>
      <w:r w:rsidR="009B55D6">
        <w:rPr>
          <w:rFonts w:ascii="Palatino Linotype" w:hAnsi="Palatino Linotype"/>
        </w:rPr>
        <w:t>emissions</w:t>
      </w:r>
      <w:r w:rsidR="009B55D6" w:rsidRPr="00007555">
        <w:rPr>
          <w:rFonts w:ascii="Palatino Linotype" w:hAnsi="Palatino Linotype"/>
        </w:rPr>
        <w:t xml:space="preserve"> </w:t>
      </w:r>
      <w:r w:rsidR="00007555" w:rsidRPr="00007555">
        <w:rPr>
          <w:rFonts w:ascii="Palatino Linotype" w:hAnsi="Palatino Linotype"/>
        </w:rPr>
        <w:t xml:space="preserve">produced from the fuel it distributes.  Allowances would be put up for auction and provided to the highest bidder.  </w:t>
      </w:r>
    </w:p>
    <w:p w14:paraId="1363E9E0" w14:textId="6B4153AE" w:rsidR="00901231" w:rsidRPr="00EC29BD" w:rsidRDefault="00EC29BD" w:rsidP="00A23316">
      <w:pPr>
        <w:spacing w:line="360" w:lineRule="auto"/>
        <w:ind w:firstLine="720"/>
        <w:jc w:val="both"/>
        <w:rPr>
          <w:rFonts w:ascii="Palatino Linotype" w:hAnsi="Palatino Linotype"/>
        </w:rPr>
      </w:pPr>
      <w:r w:rsidRPr="00EC29BD">
        <w:rPr>
          <w:rFonts w:ascii="Palatino Linotype" w:hAnsi="Palatino Linotype"/>
        </w:rPr>
        <w:t>The reduction in</w:t>
      </w:r>
      <w:r w:rsidR="00E64AD6">
        <w:rPr>
          <w:rFonts w:ascii="Palatino Linotype" w:hAnsi="Palatino Linotype"/>
        </w:rPr>
        <w:t xml:space="preserve"> Greenhouse Gas (</w:t>
      </w:r>
      <w:r w:rsidR="000713CE" w:rsidRPr="00EC29BD">
        <w:rPr>
          <w:rFonts w:ascii="Palatino Linotype" w:hAnsi="Palatino Linotype"/>
        </w:rPr>
        <w:t>GHG</w:t>
      </w:r>
      <w:r w:rsidR="00E64AD6">
        <w:rPr>
          <w:rFonts w:ascii="Palatino Linotype" w:hAnsi="Palatino Linotype"/>
        </w:rPr>
        <w:t>)</w:t>
      </w:r>
      <w:r w:rsidR="00765A5E" w:rsidRPr="00EC29BD">
        <w:rPr>
          <w:rFonts w:ascii="Palatino Linotype" w:hAnsi="Palatino Linotype"/>
        </w:rPr>
        <w:t xml:space="preserve"> emissions</w:t>
      </w:r>
      <w:r w:rsidR="00A3489F" w:rsidRPr="00EC29BD">
        <w:rPr>
          <w:rFonts w:ascii="Palatino Linotype" w:hAnsi="Palatino Linotype"/>
        </w:rPr>
        <w:t xml:space="preserve"> </w:t>
      </w:r>
      <w:r w:rsidRPr="00EC29BD">
        <w:rPr>
          <w:rFonts w:ascii="Palatino Linotype" w:hAnsi="Palatino Linotype"/>
        </w:rPr>
        <w:t xml:space="preserve">under the various emissions cap scenarios proposed under the TCI would </w:t>
      </w:r>
      <w:r w:rsidR="00A3489F" w:rsidRPr="00EC29BD">
        <w:rPr>
          <w:rFonts w:ascii="Palatino Linotype" w:hAnsi="Palatino Linotype"/>
        </w:rPr>
        <w:t>confer economic benefits by</w:t>
      </w:r>
      <w:r w:rsidRPr="00EC29BD">
        <w:rPr>
          <w:rFonts w:ascii="Palatino Linotype" w:hAnsi="Palatino Linotype"/>
        </w:rPr>
        <w:t xml:space="preserve"> abating</w:t>
      </w:r>
      <w:r w:rsidR="00A3489F" w:rsidRPr="00EC29BD">
        <w:rPr>
          <w:rFonts w:ascii="Palatino Linotype" w:hAnsi="Palatino Linotype"/>
        </w:rPr>
        <w:t xml:space="preserve"> the adverse effects of climate change. </w:t>
      </w:r>
      <w:r w:rsidR="000C2377">
        <w:rPr>
          <w:rFonts w:ascii="Palatino Linotype" w:hAnsi="Palatino Linotype"/>
        </w:rPr>
        <w:t xml:space="preserve"> </w:t>
      </w:r>
      <w:r w:rsidR="009B55D6">
        <w:rPr>
          <w:rFonts w:ascii="Palatino Linotype" w:hAnsi="Palatino Linotype"/>
        </w:rPr>
        <w:t>The logic follows that</w:t>
      </w:r>
      <w:r w:rsidRPr="00EC29BD">
        <w:rPr>
          <w:rFonts w:ascii="Palatino Linotype" w:hAnsi="Palatino Linotype"/>
        </w:rPr>
        <w:t xml:space="preserve"> the more stringent the emissions cap imposed, the greater the environmental and economic benefits from mitigating GHG emissions.</w:t>
      </w:r>
      <w:r w:rsidR="00A3489F" w:rsidRPr="00EC29BD">
        <w:rPr>
          <w:rFonts w:ascii="Palatino Linotype" w:hAnsi="Palatino Linotype"/>
        </w:rPr>
        <w:t xml:space="preserve"> </w:t>
      </w:r>
      <w:r w:rsidR="009B55D6">
        <w:rPr>
          <w:rFonts w:ascii="Palatino Linotype" w:hAnsi="Palatino Linotype"/>
        </w:rPr>
        <w:t>P</w:t>
      </w:r>
      <w:r w:rsidR="00A3489F" w:rsidRPr="00EC29BD">
        <w:rPr>
          <w:rFonts w:ascii="Palatino Linotype" w:hAnsi="Palatino Linotype"/>
        </w:rPr>
        <w:t>otential benefits</w:t>
      </w:r>
      <w:r w:rsidR="009B55D6">
        <w:rPr>
          <w:rFonts w:ascii="Palatino Linotype" w:hAnsi="Palatino Linotype"/>
        </w:rPr>
        <w:t xml:space="preserve"> from such mitigation</w:t>
      </w:r>
      <w:r w:rsidR="00A3489F" w:rsidRPr="00EC29BD">
        <w:rPr>
          <w:rFonts w:ascii="Palatino Linotype" w:hAnsi="Palatino Linotype"/>
        </w:rPr>
        <w:t xml:space="preserve"> include avoiding crop and livestock losses, </w:t>
      </w:r>
      <w:r w:rsidR="009B55D6">
        <w:rPr>
          <w:rFonts w:ascii="Palatino Linotype" w:hAnsi="Palatino Linotype"/>
        </w:rPr>
        <w:t xml:space="preserve">stopping </w:t>
      </w:r>
      <w:r w:rsidR="00A3489F" w:rsidRPr="00EC29BD">
        <w:rPr>
          <w:rFonts w:ascii="Palatino Linotype" w:hAnsi="Palatino Linotype"/>
        </w:rPr>
        <w:t xml:space="preserve">property damages from </w:t>
      </w:r>
      <w:r w:rsidR="009B55D6">
        <w:rPr>
          <w:rFonts w:ascii="Palatino Linotype" w:hAnsi="Palatino Linotype"/>
        </w:rPr>
        <w:t>climate-change-induced flooding</w:t>
      </w:r>
      <w:r w:rsidR="00A3489F" w:rsidRPr="00EC29BD">
        <w:rPr>
          <w:rFonts w:ascii="Palatino Linotype" w:hAnsi="Palatino Linotype"/>
        </w:rPr>
        <w:t xml:space="preserve">, and other impacts </w:t>
      </w:r>
      <w:r w:rsidR="009B55D6">
        <w:rPr>
          <w:rFonts w:ascii="Palatino Linotype" w:hAnsi="Palatino Linotype"/>
        </w:rPr>
        <w:t>caused by climate change</w:t>
      </w:r>
      <w:r w:rsidR="00A3489F" w:rsidRPr="00EC29BD">
        <w:rPr>
          <w:rFonts w:ascii="Palatino Linotype" w:hAnsi="Palatino Linotype"/>
        </w:rPr>
        <w:t>.</w:t>
      </w:r>
      <w:r w:rsidR="00A3489F" w:rsidRPr="00EC29BD">
        <w:rPr>
          <w:rFonts w:ascii="Palatino Linotype" w:hAnsi="Palatino Linotype"/>
          <w:vertAlign w:val="superscript"/>
        </w:rPr>
        <w:t xml:space="preserve"> </w:t>
      </w:r>
      <w:r w:rsidR="00D97673">
        <w:rPr>
          <w:rStyle w:val="FootnoteReference"/>
          <w:rFonts w:ascii="Palatino Linotype" w:hAnsi="Palatino Linotype"/>
        </w:rPr>
        <w:footnoteReference w:customMarkFollows="1" w:id="5"/>
        <w:t>4</w:t>
      </w:r>
      <w:r w:rsidR="00A3489F" w:rsidRPr="00EC29BD">
        <w:rPr>
          <w:rFonts w:ascii="Palatino Linotype" w:hAnsi="Palatino Linotype"/>
        </w:rPr>
        <w:t xml:space="preserve"> </w:t>
      </w:r>
    </w:p>
    <w:p w14:paraId="7B0FFE9A" w14:textId="53B1612E" w:rsidR="003E7EF7" w:rsidRPr="00007555" w:rsidRDefault="003E7629" w:rsidP="00C513DE">
      <w:pPr>
        <w:spacing w:line="360" w:lineRule="auto"/>
        <w:ind w:firstLine="720"/>
        <w:jc w:val="both"/>
        <w:rPr>
          <w:rFonts w:ascii="Palatino Linotype" w:hAnsi="Palatino Linotype"/>
        </w:rPr>
      </w:pPr>
      <w:r>
        <w:rPr>
          <w:rFonts w:ascii="Palatino Linotype" w:hAnsi="Palatino Linotype"/>
        </w:rPr>
        <w:t xml:space="preserve">TCI would, however, impose costs by raising the cost of motor fuels, and the costs would far outweigh the benefits.  </w:t>
      </w:r>
      <w:r w:rsidR="00C148B4">
        <w:rPr>
          <w:rFonts w:ascii="Palatino Linotype" w:hAnsi="Palatino Linotype"/>
        </w:rPr>
        <w:t>In the study, t</w:t>
      </w:r>
      <w:r w:rsidR="00A3489F" w:rsidRPr="00007555">
        <w:rPr>
          <w:rFonts w:ascii="Palatino Linotype" w:hAnsi="Palatino Linotype"/>
        </w:rPr>
        <w:t xml:space="preserve">he Beacon Hill Institute </w:t>
      </w:r>
      <w:r w:rsidR="00C513DE">
        <w:rPr>
          <w:rFonts w:ascii="Palatino Linotype" w:hAnsi="Palatino Linotype"/>
        </w:rPr>
        <w:t>estimate</w:t>
      </w:r>
      <w:r w:rsidR="00E64AD6">
        <w:rPr>
          <w:rFonts w:ascii="Palatino Linotype" w:hAnsi="Palatino Linotype"/>
        </w:rPr>
        <w:t>s</w:t>
      </w:r>
      <w:r w:rsidR="00A3489F" w:rsidRPr="00007555">
        <w:rPr>
          <w:rFonts w:ascii="Palatino Linotype" w:hAnsi="Palatino Linotype"/>
        </w:rPr>
        <w:t xml:space="preserve"> the costs and benefits </w:t>
      </w:r>
      <w:r w:rsidR="00C513DE">
        <w:rPr>
          <w:rFonts w:ascii="Palatino Linotype" w:hAnsi="Palatino Linotype"/>
        </w:rPr>
        <w:t>to</w:t>
      </w:r>
      <w:r w:rsidR="00C513DE" w:rsidRPr="00007555">
        <w:rPr>
          <w:rFonts w:ascii="Palatino Linotype" w:hAnsi="Palatino Linotype"/>
        </w:rPr>
        <w:t xml:space="preserve"> </w:t>
      </w:r>
      <w:r w:rsidR="00721219">
        <w:rPr>
          <w:rFonts w:ascii="Palatino Linotype" w:hAnsi="Palatino Linotype"/>
        </w:rPr>
        <w:t>Virginia</w:t>
      </w:r>
      <w:r w:rsidR="00063782">
        <w:rPr>
          <w:rFonts w:ascii="Palatino Linotype" w:hAnsi="Palatino Linotype"/>
        </w:rPr>
        <w:t xml:space="preserve"> </w:t>
      </w:r>
      <w:r w:rsidR="00C513DE">
        <w:rPr>
          <w:rFonts w:ascii="Palatino Linotype" w:hAnsi="Palatino Linotype"/>
        </w:rPr>
        <w:t xml:space="preserve">of </w:t>
      </w:r>
      <w:r w:rsidR="00007555" w:rsidRPr="00007555">
        <w:rPr>
          <w:rFonts w:ascii="Palatino Linotype" w:hAnsi="Palatino Linotype"/>
        </w:rPr>
        <w:t>participating in the Transportation Climate Initiative</w:t>
      </w:r>
      <w:r w:rsidR="00941EB9" w:rsidRPr="00007555">
        <w:rPr>
          <w:rFonts w:ascii="Palatino Linotype" w:hAnsi="Palatino Linotype"/>
        </w:rPr>
        <w:t xml:space="preserve">. </w:t>
      </w:r>
      <w:r w:rsidR="00E64AD6">
        <w:rPr>
          <w:rFonts w:ascii="Palatino Linotype" w:hAnsi="Palatino Linotype"/>
        </w:rPr>
        <w:t>T</w:t>
      </w:r>
      <w:r w:rsidR="002A3BE7" w:rsidRPr="00007555">
        <w:rPr>
          <w:rFonts w:ascii="Palatino Linotype" w:hAnsi="Palatino Linotype"/>
        </w:rPr>
        <w:t xml:space="preserve">o capture </w:t>
      </w:r>
      <w:r w:rsidR="00007555" w:rsidRPr="00007555">
        <w:rPr>
          <w:rFonts w:ascii="Palatino Linotype" w:hAnsi="Palatino Linotype"/>
        </w:rPr>
        <w:t xml:space="preserve">the </w:t>
      </w:r>
      <w:r w:rsidR="00EC29BD" w:rsidRPr="00007555">
        <w:rPr>
          <w:rFonts w:ascii="Palatino Linotype" w:hAnsi="Palatino Linotype"/>
        </w:rPr>
        <w:t>short-term</w:t>
      </w:r>
      <w:r w:rsidR="00007555" w:rsidRPr="00007555">
        <w:rPr>
          <w:rFonts w:ascii="Palatino Linotype" w:hAnsi="Palatino Linotype"/>
        </w:rPr>
        <w:t xml:space="preserve"> economic impacts on the </w:t>
      </w:r>
      <w:r w:rsidR="00721219">
        <w:rPr>
          <w:rFonts w:ascii="Palatino Linotype" w:hAnsi="Palatino Linotype"/>
        </w:rPr>
        <w:t>Virginia</w:t>
      </w:r>
      <w:r w:rsidR="00063782">
        <w:rPr>
          <w:rFonts w:ascii="Palatino Linotype" w:hAnsi="Palatino Linotype"/>
        </w:rPr>
        <w:t xml:space="preserve"> </w:t>
      </w:r>
      <w:r w:rsidR="00007555" w:rsidRPr="00007555">
        <w:rPr>
          <w:rFonts w:ascii="Palatino Linotype" w:hAnsi="Palatino Linotype"/>
        </w:rPr>
        <w:t>economy</w:t>
      </w:r>
      <w:r w:rsidR="00E64AD6">
        <w:rPr>
          <w:rFonts w:ascii="Palatino Linotype" w:hAnsi="Palatino Linotype"/>
        </w:rPr>
        <w:t>, w</w:t>
      </w:r>
      <w:r w:rsidR="00E64AD6" w:rsidRPr="00007555">
        <w:rPr>
          <w:rFonts w:ascii="Palatino Linotype" w:hAnsi="Palatino Linotype"/>
        </w:rPr>
        <w:t xml:space="preserve">e report our results for </w:t>
      </w:r>
      <w:r w:rsidR="00E64AD6">
        <w:rPr>
          <w:rFonts w:ascii="Palatino Linotype" w:hAnsi="Palatino Linotype"/>
        </w:rPr>
        <w:t xml:space="preserve">three emissions cap scenarios from </w:t>
      </w:r>
      <w:r w:rsidR="00E64AD6" w:rsidRPr="00007555">
        <w:rPr>
          <w:rFonts w:ascii="Palatino Linotype" w:hAnsi="Palatino Linotype"/>
        </w:rPr>
        <w:t>2022 through 2026</w:t>
      </w:r>
      <w:r w:rsidR="00E64AD6">
        <w:rPr>
          <w:rFonts w:ascii="Palatino Linotype" w:hAnsi="Palatino Linotype"/>
        </w:rPr>
        <w:t>.</w:t>
      </w:r>
      <w:r w:rsidR="00E64AD6" w:rsidRPr="00007555">
        <w:rPr>
          <w:rFonts w:ascii="Palatino Linotype" w:hAnsi="Palatino Linotype"/>
        </w:rPr>
        <w:t xml:space="preserve"> </w:t>
      </w:r>
      <w:r w:rsidR="002A3BE7" w:rsidRPr="00007555">
        <w:rPr>
          <w:rFonts w:ascii="Palatino Linotype" w:hAnsi="Palatino Linotype"/>
        </w:rPr>
        <w:t xml:space="preserve">  </w:t>
      </w:r>
      <w:r w:rsidR="00A26921">
        <w:rPr>
          <w:rFonts w:ascii="Palatino Linotype" w:hAnsi="Palatino Linotype"/>
        </w:rPr>
        <w:t>The scenarios are caps set at 20, 22</w:t>
      </w:r>
      <w:r w:rsidR="002570BE">
        <w:rPr>
          <w:rFonts w:ascii="Palatino Linotype" w:hAnsi="Palatino Linotype"/>
        </w:rPr>
        <w:t>.5</w:t>
      </w:r>
      <w:r w:rsidR="00A26921">
        <w:rPr>
          <w:rFonts w:ascii="Palatino Linotype" w:hAnsi="Palatino Linotype"/>
        </w:rPr>
        <w:t>, and 25</w:t>
      </w:r>
      <w:r w:rsidR="001901CC">
        <w:rPr>
          <w:rFonts w:ascii="Palatino Linotype" w:hAnsi="Palatino Linotype"/>
        </w:rPr>
        <w:t xml:space="preserve"> percent</w:t>
      </w:r>
      <w:r w:rsidR="00A26921">
        <w:rPr>
          <w:rFonts w:ascii="Palatino Linotype" w:hAnsi="Palatino Linotype"/>
        </w:rPr>
        <w:t xml:space="preserve"> of baseline emissions.</w:t>
      </w:r>
      <w:r w:rsidR="008D6256">
        <w:rPr>
          <w:rFonts w:ascii="Palatino Linotype" w:hAnsi="Palatino Linotype"/>
        </w:rPr>
        <w:t xml:space="preserve"> </w:t>
      </w:r>
      <w:r w:rsidR="008D6256" w:rsidRPr="00443857">
        <w:rPr>
          <w:rFonts w:ascii="Palatino Linotype" w:hAnsi="Palatino Linotype"/>
        </w:rPr>
        <w:t>For example, a 2</w:t>
      </w:r>
      <w:r w:rsidR="00443857" w:rsidRPr="00B52D2F">
        <w:rPr>
          <w:rFonts w:ascii="Palatino Linotype" w:hAnsi="Palatino Linotype"/>
        </w:rPr>
        <w:t>5</w:t>
      </w:r>
      <w:r w:rsidR="008D6256" w:rsidRPr="00443857">
        <w:rPr>
          <w:rFonts w:ascii="Palatino Linotype" w:hAnsi="Palatino Linotype"/>
        </w:rPr>
        <w:t xml:space="preserve"> percent emissions cap would reduce the baseline emissions from the </w:t>
      </w:r>
      <w:r w:rsidR="00B3763F" w:rsidRPr="00443857">
        <w:rPr>
          <w:rFonts w:ascii="Palatino Linotype" w:hAnsi="Palatino Linotype"/>
        </w:rPr>
        <w:t>combustion of motor fuels by 2</w:t>
      </w:r>
      <w:r w:rsidR="00443857" w:rsidRPr="00B52D2F">
        <w:rPr>
          <w:rFonts w:ascii="Palatino Linotype" w:hAnsi="Palatino Linotype"/>
        </w:rPr>
        <w:t>5</w:t>
      </w:r>
      <w:r w:rsidR="00B3763F" w:rsidRPr="00443857">
        <w:rPr>
          <w:rFonts w:ascii="Palatino Linotype" w:hAnsi="Palatino Linotype"/>
        </w:rPr>
        <w:t xml:space="preserve"> percent.</w:t>
      </w:r>
      <w:r w:rsidR="008D6256" w:rsidRPr="00443857">
        <w:rPr>
          <w:rFonts w:ascii="Palatino Linotype" w:hAnsi="Palatino Linotype"/>
        </w:rPr>
        <w:t xml:space="preserve"> </w:t>
      </w:r>
      <w:r w:rsidR="00A26921" w:rsidRPr="00443857">
        <w:rPr>
          <w:rFonts w:ascii="Palatino Linotype" w:hAnsi="Palatino Linotype"/>
        </w:rPr>
        <w:t xml:space="preserve">  </w:t>
      </w:r>
      <w:r w:rsidR="00E64AD6" w:rsidRPr="00443857">
        <w:rPr>
          <w:rFonts w:ascii="Palatino Linotype" w:hAnsi="Palatino Linotype"/>
        </w:rPr>
        <w:t>ES-</w:t>
      </w:r>
      <w:r w:rsidR="00A3489F" w:rsidRPr="00443857">
        <w:rPr>
          <w:rFonts w:ascii="Palatino Linotype" w:hAnsi="Palatino Linotype"/>
        </w:rPr>
        <w:t>Table</w:t>
      </w:r>
      <w:r w:rsidR="00E64AD6" w:rsidRPr="00443857">
        <w:rPr>
          <w:rFonts w:ascii="Palatino Linotype" w:hAnsi="Palatino Linotype"/>
        </w:rPr>
        <w:t xml:space="preserve"> </w:t>
      </w:r>
      <w:r w:rsidR="00A3489F" w:rsidRPr="00443857">
        <w:rPr>
          <w:rFonts w:ascii="Palatino Linotype" w:hAnsi="Palatino Linotype"/>
        </w:rPr>
        <w:t>1 displays the results</w:t>
      </w:r>
      <w:r w:rsidR="001B66C2" w:rsidRPr="00443857">
        <w:rPr>
          <w:rFonts w:ascii="Palatino Linotype" w:hAnsi="Palatino Linotype"/>
        </w:rPr>
        <w:t xml:space="preserve"> of a cap set at 2</w:t>
      </w:r>
      <w:r w:rsidR="00443857" w:rsidRPr="00B52D2F">
        <w:rPr>
          <w:rFonts w:ascii="Palatino Linotype" w:hAnsi="Palatino Linotype"/>
        </w:rPr>
        <w:t>5</w:t>
      </w:r>
      <w:r w:rsidR="001B66C2" w:rsidRPr="00443857">
        <w:rPr>
          <w:rFonts w:ascii="Palatino Linotype" w:hAnsi="Palatino Linotype"/>
        </w:rPr>
        <w:t xml:space="preserve"> percent</w:t>
      </w:r>
      <w:r w:rsidR="00A3489F" w:rsidRPr="00443857">
        <w:rPr>
          <w:rFonts w:ascii="Palatino Linotype" w:hAnsi="Palatino Linotype"/>
        </w:rPr>
        <w:t>.</w:t>
      </w:r>
      <w:r w:rsidR="00A3489F" w:rsidRPr="00007555">
        <w:rPr>
          <w:rFonts w:ascii="Palatino Linotype" w:hAnsi="Palatino Linotype"/>
        </w:rPr>
        <w:t xml:space="preserve">  </w:t>
      </w:r>
    </w:p>
    <w:p w14:paraId="1996F769" w14:textId="6F8C6CB3" w:rsidR="00B53488" w:rsidRPr="00BB2958" w:rsidRDefault="00DF6C2D" w:rsidP="003F104A">
      <w:pPr>
        <w:spacing w:line="360" w:lineRule="auto"/>
        <w:ind w:firstLine="720"/>
        <w:jc w:val="both"/>
        <w:rPr>
          <w:rFonts w:ascii="Palatino Linotype" w:hAnsi="Palatino Linotype"/>
          <w:noProof/>
          <w:szCs w:val="24"/>
        </w:rPr>
      </w:pPr>
      <w:r w:rsidRPr="00443857">
        <w:rPr>
          <w:rFonts w:ascii="Palatino Linotype" w:hAnsi="Palatino Linotype"/>
          <w:noProof/>
          <w:szCs w:val="24"/>
        </w:rPr>
        <w:t xml:space="preserve">If </w:t>
      </w:r>
      <w:r w:rsidR="00AF38EC" w:rsidRPr="00443857">
        <w:rPr>
          <w:rFonts w:ascii="Palatino Linotype" w:hAnsi="Palatino Linotype"/>
          <w:noProof/>
          <w:szCs w:val="24"/>
        </w:rPr>
        <w:t>Virginia</w:t>
      </w:r>
      <w:r w:rsidR="00063782" w:rsidRPr="005C0B90">
        <w:rPr>
          <w:rFonts w:ascii="Palatino Linotype" w:hAnsi="Palatino Linotype"/>
          <w:noProof/>
          <w:szCs w:val="24"/>
        </w:rPr>
        <w:t xml:space="preserve"> </w:t>
      </w:r>
      <w:r w:rsidR="008E4FD5" w:rsidRPr="005C0B90">
        <w:rPr>
          <w:rFonts w:ascii="Palatino Linotype" w:hAnsi="Palatino Linotype"/>
          <w:noProof/>
          <w:szCs w:val="24"/>
        </w:rPr>
        <w:t xml:space="preserve">were to set a </w:t>
      </w:r>
      <w:r w:rsidR="00443857" w:rsidRPr="00B52D2F">
        <w:rPr>
          <w:rFonts w:ascii="Palatino Linotype" w:hAnsi="Palatino Linotype"/>
          <w:noProof/>
          <w:szCs w:val="24"/>
        </w:rPr>
        <w:t>25</w:t>
      </w:r>
      <w:r w:rsidR="008E4FD5" w:rsidRPr="00443857">
        <w:rPr>
          <w:rFonts w:ascii="Palatino Linotype" w:hAnsi="Palatino Linotype"/>
          <w:noProof/>
          <w:szCs w:val="24"/>
        </w:rPr>
        <w:t xml:space="preserve"> percent emissions cap on finished gasoline and on-road diesel</w:t>
      </w:r>
      <w:r w:rsidRPr="00443857">
        <w:rPr>
          <w:rFonts w:ascii="Palatino Linotype" w:hAnsi="Palatino Linotype"/>
          <w:noProof/>
          <w:szCs w:val="24"/>
        </w:rPr>
        <w:t>,</w:t>
      </w:r>
      <w:r w:rsidR="00443857" w:rsidRPr="00443857">
        <w:rPr>
          <w:rFonts w:ascii="Palatino Linotype" w:eastAsia="Calibri" w:hAnsi="Palatino Linotype"/>
        </w:rPr>
        <w:t xml:space="preserve"> we project emissions in 2022 would fall to 39.0 </w:t>
      </w:r>
      <w:r w:rsidR="00094725">
        <w:rPr>
          <w:rFonts w:ascii="Palatino Linotype" w:eastAsia="Calibri" w:hAnsi="Palatino Linotype"/>
        </w:rPr>
        <w:t>million metric tons of carbon dioxide equivalent (</w:t>
      </w:r>
      <w:r w:rsidR="00443857" w:rsidRPr="00443857">
        <w:rPr>
          <w:rFonts w:ascii="Palatino Linotype" w:eastAsia="Calibri" w:hAnsi="Palatino Linotype"/>
        </w:rPr>
        <w:t>MMTCO2E</w:t>
      </w:r>
      <w:r w:rsidR="00094725">
        <w:rPr>
          <w:rFonts w:ascii="Palatino Linotype" w:eastAsia="Calibri" w:hAnsi="Palatino Linotype"/>
        </w:rPr>
        <w:t xml:space="preserve">) </w:t>
      </w:r>
      <w:r w:rsidR="00443857" w:rsidRPr="00443857">
        <w:rPr>
          <w:rFonts w:ascii="Palatino Linotype" w:eastAsia="Calibri" w:hAnsi="Palatino Linotype"/>
        </w:rPr>
        <w:t xml:space="preserve">and to 36.0 MMTCO2E </w:t>
      </w:r>
      <w:r w:rsidR="00443857" w:rsidRPr="00BB2958">
        <w:rPr>
          <w:rFonts w:ascii="Palatino Linotype" w:eastAsia="Calibri" w:hAnsi="Palatino Linotype"/>
        </w:rPr>
        <w:t>by 2026.</w:t>
      </w:r>
      <w:r w:rsidRPr="00BB2958">
        <w:rPr>
          <w:rFonts w:ascii="Palatino Linotype" w:hAnsi="Palatino Linotype"/>
          <w:noProof/>
          <w:szCs w:val="24"/>
        </w:rPr>
        <w:t xml:space="preserve"> </w:t>
      </w:r>
    </w:p>
    <w:p w14:paraId="4F9E2467" w14:textId="569DA70B" w:rsidR="00B53488" w:rsidRPr="00B45B4B" w:rsidRDefault="00DF6C2D" w:rsidP="00B53488">
      <w:pPr>
        <w:spacing w:line="360" w:lineRule="auto"/>
        <w:ind w:firstLine="720"/>
        <w:jc w:val="both"/>
        <w:rPr>
          <w:rFonts w:ascii="Palatino Linotype" w:hAnsi="Palatino Linotype"/>
          <w:noProof/>
          <w:szCs w:val="24"/>
        </w:rPr>
      </w:pPr>
      <w:r w:rsidRPr="00BB2958">
        <w:rPr>
          <w:rFonts w:ascii="Palatino Linotype" w:hAnsi="Palatino Linotype"/>
          <w:noProof/>
          <w:szCs w:val="24"/>
        </w:rPr>
        <w:t>The</w:t>
      </w:r>
      <w:r w:rsidR="003E7629" w:rsidRPr="00BB2958">
        <w:rPr>
          <w:rFonts w:ascii="Palatino Linotype" w:hAnsi="Palatino Linotype"/>
          <w:noProof/>
          <w:szCs w:val="24"/>
        </w:rPr>
        <w:t xml:space="preserve"> often-used</w:t>
      </w:r>
      <w:r w:rsidR="008D6256" w:rsidRPr="00BB2958">
        <w:rPr>
          <w:rFonts w:ascii="Palatino Linotype" w:hAnsi="Palatino Linotype"/>
          <w:noProof/>
          <w:szCs w:val="24"/>
        </w:rPr>
        <w:t xml:space="preserve"> Dynamic Integrated model of Climate and the Economy</w:t>
      </w:r>
      <w:r w:rsidRPr="00BB2958">
        <w:rPr>
          <w:rFonts w:ascii="Palatino Linotype" w:hAnsi="Palatino Linotype"/>
          <w:noProof/>
          <w:szCs w:val="24"/>
        </w:rPr>
        <w:t xml:space="preserve"> </w:t>
      </w:r>
      <w:r w:rsidR="008D6256" w:rsidRPr="00BB2958">
        <w:rPr>
          <w:rFonts w:ascii="Palatino Linotype" w:hAnsi="Palatino Linotype"/>
          <w:noProof/>
          <w:szCs w:val="24"/>
        </w:rPr>
        <w:t>(</w:t>
      </w:r>
      <w:r w:rsidRPr="00BB2958">
        <w:rPr>
          <w:rFonts w:ascii="Palatino Linotype" w:hAnsi="Palatino Linotype"/>
          <w:noProof/>
          <w:szCs w:val="24"/>
        </w:rPr>
        <w:t>DICE</w:t>
      </w:r>
      <w:r w:rsidR="008D6256" w:rsidRPr="00BB2958">
        <w:rPr>
          <w:rFonts w:ascii="Palatino Linotype" w:hAnsi="Palatino Linotype"/>
          <w:noProof/>
          <w:szCs w:val="24"/>
        </w:rPr>
        <w:t xml:space="preserve">), which integrates an economic model with a climate model, allows us to estimate the </w:t>
      </w:r>
      <w:r w:rsidR="008D6256" w:rsidRPr="00BB2958">
        <w:rPr>
          <w:rFonts w:ascii="Palatino Linotype" w:hAnsi="Palatino Linotype"/>
          <w:noProof/>
          <w:szCs w:val="24"/>
        </w:rPr>
        <w:lastRenderedPageBreak/>
        <w:t>social cost of CO2E.</w:t>
      </w:r>
      <w:r w:rsidRPr="00BB2958">
        <w:rPr>
          <w:rFonts w:ascii="Palatino Linotype" w:hAnsi="Palatino Linotype"/>
          <w:noProof/>
          <w:szCs w:val="24"/>
        </w:rPr>
        <w:t xml:space="preserve"> </w:t>
      </w:r>
      <w:r w:rsidR="00B53488" w:rsidRPr="00B52D2F">
        <w:rPr>
          <w:rFonts w:ascii="Palatino Linotype" w:hAnsi="Palatino Linotype"/>
          <w:noProof/>
          <w:szCs w:val="24"/>
        </w:rPr>
        <w:t>It is important to note, however, the DICE model</w:t>
      </w:r>
      <w:r w:rsidR="005C0B90" w:rsidRPr="00B52D2F">
        <w:rPr>
          <w:rFonts w:ascii="Palatino Linotype" w:hAnsi="Palatino Linotype"/>
          <w:noProof/>
          <w:szCs w:val="24"/>
        </w:rPr>
        <w:t xml:space="preserve"> may</w:t>
      </w:r>
      <w:r w:rsidR="00B53488" w:rsidRPr="00B52D2F">
        <w:rPr>
          <w:rFonts w:ascii="Palatino Linotype" w:hAnsi="Palatino Linotype"/>
          <w:noProof/>
          <w:szCs w:val="24"/>
        </w:rPr>
        <w:t xml:space="preserve"> overestimate the social cost of carbon as it fails to include the fertilization benefit of carbon </w:t>
      </w:r>
      <w:r w:rsidR="00D6634E" w:rsidRPr="00B52D2F">
        <w:rPr>
          <w:rFonts w:ascii="Palatino Linotype" w:hAnsi="Palatino Linotype"/>
          <w:noProof/>
          <w:szCs w:val="24"/>
        </w:rPr>
        <w:t>dio</w:t>
      </w:r>
      <w:r w:rsidR="00D6634E">
        <w:rPr>
          <w:rFonts w:ascii="Palatino Linotype" w:hAnsi="Palatino Linotype"/>
          <w:noProof/>
          <w:szCs w:val="24"/>
        </w:rPr>
        <w:t>x</w:t>
      </w:r>
      <w:r w:rsidR="00D6634E" w:rsidRPr="00B52D2F">
        <w:rPr>
          <w:rFonts w:ascii="Palatino Linotype" w:hAnsi="Palatino Linotype"/>
          <w:noProof/>
          <w:szCs w:val="24"/>
        </w:rPr>
        <w:t>ide</w:t>
      </w:r>
      <w:r w:rsidR="00B53488" w:rsidRPr="00B52D2F">
        <w:rPr>
          <w:rFonts w:ascii="Palatino Linotype" w:hAnsi="Palatino Linotype"/>
          <w:noProof/>
          <w:szCs w:val="24"/>
        </w:rPr>
        <w:t>.</w:t>
      </w:r>
      <w:r w:rsidR="00173E5A">
        <w:rPr>
          <w:rStyle w:val="FootnoteReference"/>
          <w:rFonts w:ascii="Palatino Linotype" w:hAnsi="Palatino Linotype"/>
          <w:noProof/>
          <w:szCs w:val="24"/>
        </w:rPr>
        <w:footnoteReference w:customMarkFollows="1" w:id="6"/>
        <w:t>5</w:t>
      </w:r>
      <w:r w:rsidR="00B53488" w:rsidRPr="00B52D2F">
        <w:rPr>
          <w:rFonts w:ascii="Palatino Linotype" w:hAnsi="Palatino Linotype"/>
          <w:noProof/>
          <w:szCs w:val="24"/>
        </w:rPr>
        <w:t xml:space="preserve">  Nevertheless, </w:t>
      </w:r>
      <w:r w:rsidR="007E0B5F">
        <w:rPr>
          <w:rFonts w:ascii="Palatino Linotype" w:hAnsi="Palatino Linotype"/>
          <w:noProof/>
          <w:szCs w:val="24"/>
        </w:rPr>
        <w:t xml:space="preserve">because it is so widely recognized for its validity, </w:t>
      </w:r>
      <w:r w:rsidR="00B53488" w:rsidRPr="00B52D2F">
        <w:rPr>
          <w:rFonts w:ascii="Palatino Linotype" w:hAnsi="Palatino Linotype"/>
          <w:noProof/>
          <w:szCs w:val="24"/>
        </w:rPr>
        <w:t xml:space="preserve">we use the DICE model to </w:t>
      </w:r>
      <w:r w:rsidR="007E0B5F">
        <w:rPr>
          <w:rFonts w:ascii="Palatino Linotype" w:hAnsi="Palatino Linotype"/>
          <w:noProof/>
          <w:szCs w:val="24"/>
        </w:rPr>
        <w:t>measure</w:t>
      </w:r>
      <w:r w:rsidR="00B53488" w:rsidRPr="00B52D2F">
        <w:rPr>
          <w:rFonts w:ascii="Palatino Linotype" w:hAnsi="Palatino Linotype"/>
          <w:noProof/>
          <w:szCs w:val="24"/>
        </w:rPr>
        <w:t xml:space="preserve"> </w:t>
      </w:r>
      <w:r w:rsidR="005C0B90" w:rsidRPr="00BB2958">
        <w:rPr>
          <w:rFonts w:ascii="Palatino Linotype" w:hAnsi="Palatino Linotype"/>
          <w:noProof/>
          <w:szCs w:val="24"/>
        </w:rPr>
        <w:t>the</w:t>
      </w:r>
      <w:r w:rsidR="005C0B90">
        <w:rPr>
          <w:rFonts w:ascii="Palatino Linotype" w:hAnsi="Palatino Linotype"/>
          <w:noProof/>
          <w:szCs w:val="24"/>
        </w:rPr>
        <w:t xml:space="preserve"> benefits of GHG reductions in Virginia. </w:t>
      </w:r>
    </w:p>
    <w:p w14:paraId="128900F7" w14:textId="056DD51F" w:rsidR="006F68BD" w:rsidRPr="00B52D2F" w:rsidRDefault="008D6256" w:rsidP="003F104A">
      <w:pPr>
        <w:spacing w:line="360" w:lineRule="auto"/>
        <w:ind w:firstLine="720"/>
        <w:jc w:val="both"/>
        <w:rPr>
          <w:rFonts w:ascii="Palatino Linotype" w:hAnsi="Palatino Linotype"/>
          <w:noProof/>
          <w:szCs w:val="24"/>
        </w:rPr>
      </w:pPr>
      <w:r w:rsidRPr="00CA6BCA">
        <w:rPr>
          <w:rFonts w:ascii="Palatino Linotype" w:hAnsi="Palatino Linotype"/>
          <w:noProof/>
          <w:szCs w:val="24"/>
        </w:rPr>
        <w:t xml:space="preserve">The </w:t>
      </w:r>
      <w:r w:rsidR="00DF6C2D" w:rsidRPr="00CA6BCA">
        <w:rPr>
          <w:rFonts w:ascii="Palatino Linotype" w:hAnsi="Palatino Linotype"/>
          <w:noProof/>
          <w:szCs w:val="24"/>
        </w:rPr>
        <w:t>model projects the social cost of CO2E at $39.</w:t>
      </w:r>
      <w:r w:rsidR="00FC33C2" w:rsidRPr="00CA6BCA">
        <w:rPr>
          <w:rFonts w:ascii="Palatino Linotype" w:hAnsi="Palatino Linotype"/>
          <w:noProof/>
          <w:szCs w:val="24"/>
        </w:rPr>
        <w:t>53</w:t>
      </w:r>
      <w:r w:rsidR="00DF6C2D" w:rsidRPr="00CA6BCA">
        <w:rPr>
          <w:rFonts w:ascii="Palatino Linotype" w:hAnsi="Palatino Linotype"/>
          <w:noProof/>
          <w:szCs w:val="24"/>
        </w:rPr>
        <w:t xml:space="preserve"> per metric ton in 2022, increasing to $45.</w:t>
      </w:r>
      <w:r w:rsidR="00FC33C2" w:rsidRPr="00CA6BCA">
        <w:rPr>
          <w:rFonts w:ascii="Palatino Linotype" w:hAnsi="Palatino Linotype"/>
          <w:noProof/>
          <w:szCs w:val="24"/>
        </w:rPr>
        <w:t>81</w:t>
      </w:r>
      <w:r w:rsidR="00DF6C2D" w:rsidRPr="00CA6BCA">
        <w:rPr>
          <w:rFonts w:ascii="Palatino Linotype" w:hAnsi="Palatino Linotype"/>
          <w:noProof/>
          <w:szCs w:val="24"/>
        </w:rPr>
        <w:t xml:space="preserve"> </w:t>
      </w:r>
      <w:r w:rsidR="00252E7B" w:rsidRPr="00CA6BCA">
        <w:rPr>
          <w:rFonts w:ascii="Palatino Linotype" w:hAnsi="Palatino Linotype"/>
          <w:noProof/>
          <w:szCs w:val="24"/>
        </w:rPr>
        <w:t>by</w:t>
      </w:r>
      <w:r w:rsidR="00DF6C2D" w:rsidRPr="00CA6BCA">
        <w:rPr>
          <w:rFonts w:ascii="Palatino Linotype" w:hAnsi="Palatino Linotype"/>
          <w:noProof/>
          <w:szCs w:val="24"/>
        </w:rPr>
        <w:t xml:space="preserve"> 2026</w:t>
      </w:r>
      <w:r w:rsidR="004D42F9" w:rsidRPr="00CA6BCA">
        <w:rPr>
          <w:rFonts w:ascii="Palatino Linotype" w:hAnsi="Palatino Linotype"/>
          <w:noProof/>
          <w:szCs w:val="24"/>
        </w:rPr>
        <w:t>.</w:t>
      </w:r>
      <w:r w:rsidR="00944904" w:rsidRPr="00CA6BCA">
        <w:rPr>
          <w:rFonts w:ascii="Palatino Linotype" w:hAnsi="Palatino Linotype"/>
          <w:noProof/>
          <w:szCs w:val="24"/>
        </w:rPr>
        <w:t xml:space="preserve"> Using the social costs of CO2E from 2022 through 2026, </w:t>
      </w:r>
      <w:r w:rsidR="00B53488" w:rsidRPr="00CA6BCA">
        <w:rPr>
          <w:rFonts w:ascii="Palatino Linotype" w:hAnsi="Palatino Linotype"/>
          <w:noProof/>
          <w:szCs w:val="24"/>
        </w:rPr>
        <w:t>total social benefits</w:t>
      </w:r>
      <w:r w:rsidR="007E0B5F" w:rsidRPr="00CA6BCA">
        <w:rPr>
          <w:rFonts w:ascii="Palatino Linotype" w:hAnsi="Palatino Linotype"/>
          <w:noProof/>
          <w:szCs w:val="24"/>
        </w:rPr>
        <w:t xml:space="preserve"> of avoiding these costs</w:t>
      </w:r>
      <w:r w:rsidR="00B53488" w:rsidRPr="00CA6BCA">
        <w:rPr>
          <w:rFonts w:ascii="Palatino Linotype" w:hAnsi="Palatino Linotype"/>
          <w:noProof/>
          <w:szCs w:val="24"/>
        </w:rPr>
        <w:t xml:space="preserve"> would be $31.62 million in 2022 and $33.79 million by 2026 if a 25 percent emissions cap were set.</w:t>
      </w:r>
    </w:p>
    <w:p w14:paraId="16FEC04D" w14:textId="452F93A4" w:rsidR="00353A4C" w:rsidRPr="00B52D2F" w:rsidRDefault="00514471" w:rsidP="00353A4C">
      <w:pPr>
        <w:spacing w:line="360" w:lineRule="auto"/>
        <w:ind w:firstLine="720"/>
        <w:jc w:val="both"/>
        <w:rPr>
          <w:rFonts w:ascii="Palatino Linotype" w:hAnsi="Palatino Linotype"/>
          <w:noProof/>
          <w:szCs w:val="24"/>
        </w:rPr>
      </w:pPr>
      <w:r w:rsidRPr="00B52D2F">
        <w:rPr>
          <w:rFonts w:ascii="Palatino Linotype" w:hAnsi="Palatino Linotype"/>
        </w:rPr>
        <w:t xml:space="preserve">Under </w:t>
      </w:r>
      <w:r w:rsidR="00ED2D31" w:rsidRPr="00B52D2F">
        <w:rPr>
          <w:rFonts w:ascii="Palatino Linotype" w:hAnsi="Palatino Linotype"/>
        </w:rPr>
        <w:t xml:space="preserve">a </w:t>
      </w:r>
      <w:r w:rsidR="00B53488" w:rsidRPr="00B52D2F">
        <w:rPr>
          <w:rFonts w:ascii="Palatino Linotype" w:hAnsi="Palatino Linotype"/>
        </w:rPr>
        <w:t>25</w:t>
      </w:r>
      <w:r w:rsidR="00ED2D31" w:rsidRPr="00B52D2F">
        <w:rPr>
          <w:rFonts w:ascii="Palatino Linotype" w:hAnsi="Palatino Linotype"/>
        </w:rPr>
        <w:t xml:space="preserve"> percent cap on emissions from finished gasoline and on-road diesel</w:t>
      </w:r>
      <w:r w:rsidR="00987A0E" w:rsidRPr="00B52D2F">
        <w:rPr>
          <w:rFonts w:ascii="Palatino Linotype" w:hAnsi="Palatino Linotype"/>
        </w:rPr>
        <w:t xml:space="preserve">, </w:t>
      </w:r>
      <w:r w:rsidR="00987A0E" w:rsidRPr="00B52D2F">
        <w:rPr>
          <w:rFonts w:ascii="Palatino Linotype" w:hAnsi="Palatino Linotype"/>
          <w:noProof/>
          <w:szCs w:val="24"/>
        </w:rPr>
        <w:t>the adverse economic effects of the emissions cap would reduce other tax revenues</w:t>
      </w:r>
      <w:r w:rsidR="006A018C" w:rsidRPr="00B52D2F">
        <w:rPr>
          <w:rFonts w:ascii="Palatino Linotype" w:hAnsi="Palatino Linotype"/>
          <w:noProof/>
          <w:szCs w:val="24"/>
        </w:rPr>
        <w:t xml:space="preserve"> by $</w:t>
      </w:r>
      <w:r w:rsidR="00B52D2F" w:rsidRPr="00B52D2F">
        <w:rPr>
          <w:rFonts w:ascii="Palatino Linotype" w:hAnsi="Palatino Linotype"/>
          <w:noProof/>
          <w:szCs w:val="24"/>
        </w:rPr>
        <w:t>48</w:t>
      </w:r>
      <w:r w:rsidR="006A018C" w:rsidRPr="00B52D2F">
        <w:rPr>
          <w:rFonts w:ascii="Palatino Linotype" w:hAnsi="Palatino Linotype"/>
          <w:noProof/>
          <w:szCs w:val="24"/>
        </w:rPr>
        <w:t xml:space="preserve"> million in 2022. By 2026, the adverse economic effects of the emissions cap would reduce other tax revenues by $</w:t>
      </w:r>
      <w:r w:rsidR="00B52D2F" w:rsidRPr="00B52D2F">
        <w:rPr>
          <w:rFonts w:ascii="Palatino Linotype" w:hAnsi="Palatino Linotype"/>
          <w:noProof/>
          <w:szCs w:val="24"/>
        </w:rPr>
        <w:t>43</w:t>
      </w:r>
      <w:r w:rsidR="006A018C" w:rsidRPr="00B52D2F">
        <w:rPr>
          <w:rFonts w:ascii="Palatino Linotype" w:hAnsi="Palatino Linotype"/>
          <w:noProof/>
          <w:szCs w:val="24"/>
        </w:rPr>
        <w:t xml:space="preserve"> million.</w:t>
      </w:r>
    </w:p>
    <w:p w14:paraId="702C669D" w14:textId="3A179ECC" w:rsidR="00353A4C" w:rsidRPr="00B53488" w:rsidRDefault="00B53488" w:rsidP="00B53488">
      <w:pPr>
        <w:spacing w:line="360" w:lineRule="auto"/>
        <w:ind w:firstLine="720"/>
        <w:jc w:val="both"/>
        <w:rPr>
          <w:rFonts w:ascii="Palatino Linotype" w:hAnsi="Palatino Linotype"/>
          <w:noProof/>
          <w:szCs w:val="24"/>
        </w:rPr>
      </w:pPr>
      <w:r w:rsidRPr="00B52D2F">
        <w:rPr>
          <w:rFonts w:ascii="Palatino Linotype" w:hAnsi="Palatino Linotype"/>
          <w:noProof/>
          <w:szCs w:val="24"/>
        </w:rPr>
        <w:t>Under a 25 percent cap</w:t>
      </w:r>
      <w:r w:rsidR="00D6634E">
        <w:rPr>
          <w:rFonts w:ascii="Palatino Linotype" w:hAnsi="Palatino Linotype"/>
          <w:noProof/>
          <w:szCs w:val="24"/>
        </w:rPr>
        <w:t>,</w:t>
      </w:r>
      <w:r w:rsidRPr="00B52D2F">
        <w:rPr>
          <w:rFonts w:ascii="Palatino Linotype" w:hAnsi="Palatino Linotype"/>
          <w:noProof/>
          <w:szCs w:val="24"/>
        </w:rPr>
        <w:t xml:space="preserve"> the price of finished gasoline would increase by 33 cents per gallon and the price of on-road diesel by 28 cents per gallon</w:t>
      </w:r>
      <w:r w:rsidR="007B3DA2" w:rsidRPr="00B52D2F">
        <w:rPr>
          <w:rFonts w:ascii="Palatino Linotype" w:hAnsi="Palatino Linotype"/>
        </w:rPr>
        <w:t xml:space="preserve">. </w:t>
      </w:r>
      <w:r w:rsidR="007B3DA2" w:rsidRPr="00B52D2F">
        <w:rPr>
          <w:rFonts w:ascii="Palatino Linotype" w:hAnsi="Palatino Linotype"/>
          <w:noProof/>
          <w:szCs w:val="24"/>
        </w:rPr>
        <w:t>I</w:t>
      </w:r>
      <w:r w:rsidR="00A3489F" w:rsidRPr="00B52D2F">
        <w:rPr>
          <w:rFonts w:ascii="Palatino Linotype" w:hAnsi="Palatino Linotype"/>
          <w:noProof/>
          <w:szCs w:val="24"/>
        </w:rPr>
        <w:t xml:space="preserve">n </w:t>
      </w:r>
      <w:r w:rsidR="00C513DE" w:rsidRPr="00B52D2F">
        <w:rPr>
          <w:rFonts w:ascii="Palatino Linotype" w:hAnsi="Palatino Linotype"/>
          <w:noProof/>
          <w:szCs w:val="24"/>
        </w:rPr>
        <w:t xml:space="preserve">2022, the </w:t>
      </w:r>
      <w:r w:rsidR="00A3489F" w:rsidRPr="00B52D2F">
        <w:rPr>
          <w:rFonts w:ascii="Palatino Linotype" w:hAnsi="Palatino Linotype"/>
          <w:noProof/>
          <w:szCs w:val="24"/>
        </w:rPr>
        <w:t>first year</w:t>
      </w:r>
      <w:r w:rsidR="00C513DE" w:rsidRPr="00B52D2F">
        <w:rPr>
          <w:rFonts w:ascii="Palatino Linotype" w:hAnsi="Palatino Linotype"/>
          <w:noProof/>
          <w:szCs w:val="24"/>
        </w:rPr>
        <w:t xml:space="preserve"> of implementation</w:t>
      </w:r>
      <w:r w:rsidR="00E77EEE" w:rsidRPr="00B52D2F">
        <w:rPr>
          <w:rFonts w:ascii="Palatino Linotype" w:hAnsi="Palatino Linotype"/>
          <w:noProof/>
          <w:szCs w:val="24"/>
        </w:rPr>
        <w:t xml:space="preserve">, </w:t>
      </w:r>
      <w:r w:rsidR="00A3489F" w:rsidRPr="00B52D2F">
        <w:rPr>
          <w:rFonts w:ascii="Palatino Linotype" w:hAnsi="Palatino Linotype"/>
          <w:noProof/>
          <w:szCs w:val="24"/>
        </w:rPr>
        <w:t xml:space="preserve"> </w:t>
      </w:r>
      <w:r w:rsidR="00936F89" w:rsidRPr="00B52D2F">
        <w:rPr>
          <w:rFonts w:ascii="Palatino Linotype" w:hAnsi="Palatino Linotype"/>
          <w:noProof/>
          <w:szCs w:val="24"/>
        </w:rPr>
        <w:t xml:space="preserve">business </w:t>
      </w:r>
      <w:r w:rsidR="00A3489F" w:rsidRPr="00B52D2F">
        <w:rPr>
          <w:rFonts w:ascii="Palatino Linotype" w:hAnsi="Palatino Linotype"/>
          <w:noProof/>
          <w:szCs w:val="24"/>
        </w:rPr>
        <w:t xml:space="preserve">investment </w:t>
      </w:r>
      <w:r w:rsidR="007B3DA2" w:rsidRPr="00B52D2F">
        <w:rPr>
          <w:rFonts w:ascii="Palatino Linotype" w:hAnsi="Palatino Linotype"/>
          <w:noProof/>
          <w:szCs w:val="24"/>
        </w:rPr>
        <w:t xml:space="preserve">would fall </w:t>
      </w:r>
      <w:r w:rsidR="00A3489F" w:rsidRPr="00B52D2F">
        <w:rPr>
          <w:rFonts w:ascii="Palatino Linotype" w:hAnsi="Palatino Linotype"/>
          <w:noProof/>
          <w:szCs w:val="24"/>
        </w:rPr>
        <w:t>by $</w:t>
      </w:r>
      <w:r w:rsidR="002A6037" w:rsidRPr="00B52D2F">
        <w:rPr>
          <w:rFonts w:ascii="Palatino Linotype" w:hAnsi="Palatino Linotype"/>
          <w:noProof/>
          <w:szCs w:val="24"/>
        </w:rPr>
        <w:t>1</w:t>
      </w:r>
      <w:r w:rsidR="00B52D2F" w:rsidRPr="00B52D2F">
        <w:rPr>
          <w:rFonts w:ascii="Palatino Linotype" w:hAnsi="Palatino Linotype"/>
          <w:noProof/>
          <w:szCs w:val="24"/>
        </w:rPr>
        <w:t>65</w:t>
      </w:r>
      <w:r w:rsidR="00A3489F" w:rsidRPr="00B52D2F">
        <w:rPr>
          <w:rFonts w:ascii="Palatino Linotype" w:hAnsi="Palatino Linotype"/>
          <w:noProof/>
          <w:szCs w:val="24"/>
        </w:rPr>
        <w:t xml:space="preserve"> million, disposable income by $</w:t>
      </w:r>
      <w:r w:rsidR="00B52D2F" w:rsidRPr="00B52D2F">
        <w:rPr>
          <w:rFonts w:ascii="Palatino Linotype" w:hAnsi="Palatino Linotype"/>
          <w:noProof/>
          <w:szCs w:val="24"/>
        </w:rPr>
        <w:t>2,307</w:t>
      </w:r>
      <w:r w:rsidR="00A3489F" w:rsidRPr="00B52D2F">
        <w:rPr>
          <w:rFonts w:ascii="Palatino Linotype" w:hAnsi="Palatino Linotype"/>
          <w:noProof/>
          <w:szCs w:val="24"/>
        </w:rPr>
        <w:t xml:space="preserve"> million, and private employment by</w:t>
      </w:r>
      <w:r w:rsidR="00951466" w:rsidRPr="00B52D2F">
        <w:rPr>
          <w:rFonts w:ascii="Palatino Linotype" w:hAnsi="Palatino Linotype"/>
          <w:noProof/>
          <w:szCs w:val="24"/>
        </w:rPr>
        <w:t xml:space="preserve"> </w:t>
      </w:r>
      <w:r w:rsidR="00B52D2F" w:rsidRPr="00B52D2F">
        <w:rPr>
          <w:rFonts w:ascii="Palatino Linotype" w:hAnsi="Palatino Linotype"/>
          <w:noProof/>
          <w:szCs w:val="24"/>
        </w:rPr>
        <w:t>12,88</w:t>
      </w:r>
      <w:r w:rsidR="00C22AFE" w:rsidRPr="00B52D2F">
        <w:rPr>
          <w:rFonts w:ascii="Palatino Linotype" w:hAnsi="Palatino Linotype"/>
          <w:noProof/>
          <w:szCs w:val="24"/>
        </w:rPr>
        <w:t xml:space="preserve">4 </w:t>
      </w:r>
      <w:r w:rsidR="00A3489F" w:rsidRPr="00B52D2F">
        <w:rPr>
          <w:rFonts w:ascii="Palatino Linotype" w:hAnsi="Palatino Linotype"/>
          <w:noProof/>
          <w:szCs w:val="24"/>
        </w:rPr>
        <w:t>jobs.</w:t>
      </w:r>
      <w:r w:rsidR="00EE2247" w:rsidRPr="00B52D2F">
        <w:rPr>
          <w:rFonts w:ascii="Palatino Linotype" w:hAnsi="Palatino Linotype"/>
          <w:noProof/>
          <w:szCs w:val="24"/>
        </w:rPr>
        <w:t xml:space="preserve"> </w:t>
      </w:r>
      <w:r w:rsidR="007B3DA2" w:rsidRPr="00B52D2F">
        <w:rPr>
          <w:rFonts w:ascii="Palatino Linotype" w:hAnsi="Palatino Linotype"/>
          <w:noProof/>
          <w:szCs w:val="24"/>
        </w:rPr>
        <w:t>T</w:t>
      </w:r>
      <w:r w:rsidR="00D816BC" w:rsidRPr="00B52D2F">
        <w:rPr>
          <w:rFonts w:ascii="Palatino Linotype" w:hAnsi="Palatino Linotype"/>
          <w:noProof/>
          <w:szCs w:val="24"/>
        </w:rPr>
        <w:t xml:space="preserve">he cost per </w:t>
      </w:r>
      <w:r w:rsidR="007928BD" w:rsidRPr="00B52D2F">
        <w:rPr>
          <w:rFonts w:ascii="Palatino Linotype" w:hAnsi="Palatino Linotype"/>
          <w:noProof/>
          <w:szCs w:val="24"/>
        </w:rPr>
        <w:t xml:space="preserve">average </w:t>
      </w:r>
      <w:r w:rsidR="00AF38EC" w:rsidRPr="00B52D2F">
        <w:rPr>
          <w:rFonts w:ascii="Palatino Linotype" w:hAnsi="Palatino Linotype"/>
          <w:noProof/>
          <w:szCs w:val="24"/>
        </w:rPr>
        <w:t>Virginia</w:t>
      </w:r>
      <w:r w:rsidR="00063782" w:rsidRPr="00B52D2F">
        <w:rPr>
          <w:rFonts w:ascii="Palatino Linotype" w:hAnsi="Palatino Linotype"/>
          <w:noProof/>
          <w:szCs w:val="24"/>
        </w:rPr>
        <w:t xml:space="preserve"> </w:t>
      </w:r>
      <w:r w:rsidR="00D816BC" w:rsidRPr="00B52D2F">
        <w:rPr>
          <w:rFonts w:ascii="Palatino Linotype" w:hAnsi="Palatino Linotype"/>
          <w:noProof/>
          <w:szCs w:val="24"/>
        </w:rPr>
        <w:t xml:space="preserve">household would be </w:t>
      </w:r>
      <w:r w:rsidR="007928BD" w:rsidRPr="00B52D2F">
        <w:rPr>
          <w:rFonts w:ascii="Palatino Linotype" w:hAnsi="Palatino Linotype"/>
          <w:noProof/>
          <w:szCs w:val="24"/>
        </w:rPr>
        <w:t>$</w:t>
      </w:r>
      <w:r w:rsidR="00B52D2F" w:rsidRPr="00B52D2F">
        <w:rPr>
          <w:rFonts w:ascii="Palatino Linotype" w:hAnsi="Palatino Linotype"/>
          <w:noProof/>
          <w:szCs w:val="24"/>
        </w:rPr>
        <w:t>737</w:t>
      </w:r>
      <w:r w:rsidR="007928BD" w:rsidRPr="00B52D2F">
        <w:rPr>
          <w:rFonts w:ascii="Palatino Linotype" w:hAnsi="Palatino Linotype"/>
          <w:noProof/>
          <w:szCs w:val="24"/>
        </w:rPr>
        <w:t>.</w:t>
      </w:r>
      <w:r w:rsidR="00D816BC" w:rsidRPr="00B52D2F">
        <w:rPr>
          <w:rFonts w:ascii="Palatino Linotype" w:hAnsi="Palatino Linotype"/>
          <w:noProof/>
          <w:szCs w:val="24"/>
        </w:rPr>
        <w:t xml:space="preserve"> </w:t>
      </w:r>
      <w:r w:rsidR="00EE2247" w:rsidRPr="00B52D2F">
        <w:rPr>
          <w:rFonts w:ascii="Palatino Linotype" w:hAnsi="Palatino Linotype"/>
          <w:noProof/>
          <w:szCs w:val="24"/>
        </w:rPr>
        <w:t xml:space="preserve"> </w:t>
      </w:r>
    </w:p>
    <w:p w14:paraId="3A6C78E3" w14:textId="3733BA92" w:rsidR="00C53F8A" w:rsidRPr="00B52D2F" w:rsidRDefault="00C513DE" w:rsidP="00CC760D">
      <w:pPr>
        <w:spacing w:line="360" w:lineRule="auto"/>
        <w:ind w:firstLine="720"/>
        <w:jc w:val="both"/>
        <w:rPr>
          <w:rFonts w:ascii="Palatino Linotype" w:hAnsi="Palatino Linotype"/>
          <w:noProof/>
          <w:szCs w:val="24"/>
        </w:rPr>
      </w:pPr>
      <w:r w:rsidRPr="00B52D2F">
        <w:rPr>
          <w:rFonts w:ascii="Palatino Linotype" w:hAnsi="Palatino Linotype"/>
          <w:noProof/>
          <w:szCs w:val="24"/>
        </w:rPr>
        <w:t>By 2026</w:t>
      </w:r>
      <w:r w:rsidR="00A3489F" w:rsidRPr="00B52D2F">
        <w:rPr>
          <w:rFonts w:ascii="Palatino Linotype" w:hAnsi="Palatino Linotype"/>
          <w:noProof/>
          <w:szCs w:val="24"/>
        </w:rPr>
        <w:t xml:space="preserve">, the </w:t>
      </w:r>
      <w:r w:rsidR="00A949CB" w:rsidRPr="00B52D2F">
        <w:rPr>
          <w:rFonts w:ascii="Palatino Linotype" w:hAnsi="Palatino Linotype"/>
          <w:noProof/>
          <w:szCs w:val="24"/>
        </w:rPr>
        <w:t xml:space="preserve">cap </w:t>
      </w:r>
      <w:r w:rsidR="00A3489F" w:rsidRPr="00B52D2F">
        <w:rPr>
          <w:rFonts w:ascii="Palatino Linotype" w:hAnsi="Palatino Linotype"/>
          <w:noProof/>
          <w:szCs w:val="24"/>
        </w:rPr>
        <w:t xml:space="preserve">would </w:t>
      </w:r>
      <w:r w:rsidR="00A949CB" w:rsidRPr="00B52D2F">
        <w:rPr>
          <w:rFonts w:ascii="Palatino Linotype" w:hAnsi="Palatino Linotype"/>
          <w:noProof/>
          <w:szCs w:val="24"/>
        </w:rPr>
        <w:t xml:space="preserve">reduce business </w:t>
      </w:r>
      <w:r w:rsidR="00A3489F" w:rsidRPr="00B52D2F">
        <w:rPr>
          <w:rFonts w:ascii="Palatino Linotype" w:hAnsi="Palatino Linotype"/>
          <w:noProof/>
          <w:szCs w:val="24"/>
        </w:rPr>
        <w:t>investment by $</w:t>
      </w:r>
      <w:r w:rsidR="002A6037" w:rsidRPr="00B52D2F">
        <w:rPr>
          <w:rFonts w:ascii="Palatino Linotype" w:hAnsi="Palatino Linotype"/>
          <w:noProof/>
          <w:szCs w:val="24"/>
        </w:rPr>
        <w:t>1</w:t>
      </w:r>
      <w:r w:rsidR="00B52D2F" w:rsidRPr="00B52D2F">
        <w:rPr>
          <w:rFonts w:ascii="Palatino Linotype" w:hAnsi="Palatino Linotype"/>
          <w:noProof/>
          <w:szCs w:val="24"/>
        </w:rPr>
        <w:t>8</w:t>
      </w:r>
      <w:r w:rsidR="00C22AFE" w:rsidRPr="00B52D2F">
        <w:rPr>
          <w:rFonts w:ascii="Palatino Linotype" w:hAnsi="Palatino Linotype"/>
          <w:noProof/>
          <w:szCs w:val="24"/>
        </w:rPr>
        <w:t>7</w:t>
      </w:r>
      <w:r w:rsidR="00A3489F" w:rsidRPr="00B52D2F">
        <w:rPr>
          <w:rFonts w:ascii="Palatino Linotype" w:hAnsi="Palatino Linotype"/>
          <w:noProof/>
          <w:szCs w:val="24"/>
        </w:rPr>
        <w:t xml:space="preserve"> million, disposable income by $</w:t>
      </w:r>
      <w:r w:rsidR="00B52D2F" w:rsidRPr="00B52D2F">
        <w:rPr>
          <w:rFonts w:ascii="Palatino Linotype" w:hAnsi="Palatino Linotype"/>
          <w:noProof/>
          <w:szCs w:val="24"/>
        </w:rPr>
        <w:t>2,449</w:t>
      </w:r>
      <w:r w:rsidR="00A3489F" w:rsidRPr="00B52D2F">
        <w:rPr>
          <w:rFonts w:ascii="Palatino Linotype" w:hAnsi="Palatino Linotype"/>
          <w:noProof/>
          <w:szCs w:val="24"/>
        </w:rPr>
        <w:t xml:space="preserve"> million, </w:t>
      </w:r>
      <w:r w:rsidR="003C3E93" w:rsidRPr="00B52D2F">
        <w:rPr>
          <w:rFonts w:ascii="Palatino Linotype" w:hAnsi="Palatino Linotype"/>
          <w:noProof/>
          <w:szCs w:val="24"/>
        </w:rPr>
        <w:t xml:space="preserve">and </w:t>
      </w:r>
      <w:r w:rsidR="00A3489F" w:rsidRPr="00B52D2F">
        <w:rPr>
          <w:rFonts w:ascii="Palatino Linotype" w:hAnsi="Palatino Linotype"/>
          <w:noProof/>
          <w:szCs w:val="24"/>
        </w:rPr>
        <w:t xml:space="preserve">private employment by </w:t>
      </w:r>
      <w:r w:rsidR="00B52D2F" w:rsidRPr="00B52D2F">
        <w:rPr>
          <w:rFonts w:ascii="Palatino Linotype" w:hAnsi="Palatino Linotype"/>
          <w:noProof/>
          <w:szCs w:val="24"/>
        </w:rPr>
        <w:t>11,424</w:t>
      </w:r>
      <w:r w:rsidR="00A3489F" w:rsidRPr="00B52D2F">
        <w:rPr>
          <w:rFonts w:ascii="Palatino Linotype" w:hAnsi="Palatino Linotype"/>
          <w:noProof/>
          <w:szCs w:val="24"/>
        </w:rPr>
        <w:t xml:space="preserve"> jobs. </w:t>
      </w:r>
      <w:r w:rsidR="007B3DA2" w:rsidRPr="00B52D2F">
        <w:rPr>
          <w:rFonts w:ascii="Palatino Linotype" w:hAnsi="Palatino Linotype"/>
          <w:noProof/>
          <w:szCs w:val="24"/>
        </w:rPr>
        <w:t>T</w:t>
      </w:r>
      <w:r w:rsidR="007928BD" w:rsidRPr="00B52D2F">
        <w:rPr>
          <w:rFonts w:ascii="Palatino Linotype" w:hAnsi="Palatino Linotype"/>
          <w:noProof/>
          <w:szCs w:val="24"/>
        </w:rPr>
        <w:t xml:space="preserve">he cost per average </w:t>
      </w:r>
      <w:r w:rsidR="00AF38EC" w:rsidRPr="00B52D2F">
        <w:rPr>
          <w:rFonts w:ascii="Palatino Linotype" w:hAnsi="Palatino Linotype"/>
          <w:noProof/>
          <w:szCs w:val="24"/>
        </w:rPr>
        <w:t>Virginia</w:t>
      </w:r>
      <w:r w:rsidR="00063782" w:rsidRPr="00B52D2F">
        <w:rPr>
          <w:rFonts w:ascii="Palatino Linotype" w:hAnsi="Palatino Linotype"/>
          <w:noProof/>
          <w:szCs w:val="24"/>
        </w:rPr>
        <w:t xml:space="preserve"> </w:t>
      </w:r>
      <w:r w:rsidR="00C57F7F" w:rsidRPr="00B52D2F">
        <w:rPr>
          <w:rFonts w:ascii="Palatino Linotype" w:hAnsi="Palatino Linotype"/>
          <w:noProof/>
          <w:szCs w:val="24"/>
        </w:rPr>
        <w:t xml:space="preserve">household would increase to </w:t>
      </w:r>
      <w:r w:rsidR="00B52D2F" w:rsidRPr="00B52D2F">
        <w:rPr>
          <w:rFonts w:ascii="Palatino Linotype" w:hAnsi="Palatino Linotype"/>
          <w:noProof/>
          <w:szCs w:val="24"/>
        </w:rPr>
        <w:t>$782</w:t>
      </w:r>
      <w:r w:rsidR="007928BD" w:rsidRPr="00B52D2F">
        <w:rPr>
          <w:rFonts w:ascii="Palatino Linotype" w:hAnsi="Palatino Linotype"/>
          <w:noProof/>
          <w:szCs w:val="24"/>
        </w:rPr>
        <w:t xml:space="preserve">. </w:t>
      </w:r>
    </w:p>
    <w:p w14:paraId="63BA5B65" w14:textId="77777777" w:rsidR="00CC760D" w:rsidRPr="00B52D2F" w:rsidRDefault="00CC760D" w:rsidP="00B52D2F">
      <w:pPr>
        <w:spacing w:line="360" w:lineRule="auto"/>
        <w:jc w:val="both"/>
        <w:rPr>
          <w:rFonts w:ascii="Palatino Linotype" w:hAnsi="Palatino Linotype"/>
          <w:noProof/>
          <w:szCs w:val="24"/>
          <w:highlight w:val="yellow"/>
        </w:rPr>
      </w:pPr>
    </w:p>
    <w:p w14:paraId="3CDDEC00" w14:textId="77777777" w:rsidR="003872DF" w:rsidRDefault="003872DF" w:rsidP="00EA6BCE">
      <w:pPr>
        <w:pStyle w:val="Caption"/>
        <w:jc w:val="center"/>
        <w:rPr>
          <w:rFonts w:ascii="Palatino Linotype" w:hAnsi="Palatino Linotype"/>
          <w:sz w:val="24"/>
          <w:szCs w:val="24"/>
        </w:rPr>
      </w:pPr>
      <w:bookmarkStart w:id="1" w:name="_Toc7181289"/>
    </w:p>
    <w:p w14:paraId="3DC87A9A" w14:textId="77777777" w:rsidR="009A7839" w:rsidRDefault="009A7839" w:rsidP="009A7839">
      <w:pPr>
        <w:pStyle w:val="Caption"/>
        <w:rPr>
          <w:rFonts w:ascii="Palatino Linotype" w:hAnsi="Palatino Linotype"/>
          <w:sz w:val="24"/>
          <w:szCs w:val="24"/>
        </w:rPr>
      </w:pPr>
    </w:p>
    <w:p w14:paraId="4145E654" w14:textId="77777777" w:rsidR="00E024A1" w:rsidRDefault="00E024A1" w:rsidP="009A7839">
      <w:pPr>
        <w:pStyle w:val="Caption"/>
        <w:jc w:val="center"/>
        <w:rPr>
          <w:rFonts w:ascii="Palatino Linotype" w:hAnsi="Palatino Linotype"/>
          <w:sz w:val="24"/>
          <w:szCs w:val="24"/>
        </w:rPr>
      </w:pPr>
    </w:p>
    <w:p w14:paraId="2F2BF4C8" w14:textId="77777777" w:rsidR="00E024A1" w:rsidRDefault="00E024A1" w:rsidP="009A7839">
      <w:pPr>
        <w:pStyle w:val="Caption"/>
        <w:jc w:val="center"/>
        <w:rPr>
          <w:rFonts w:ascii="Palatino Linotype" w:hAnsi="Palatino Linotype"/>
          <w:sz w:val="24"/>
          <w:szCs w:val="24"/>
        </w:rPr>
      </w:pPr>
    </w:p>
    <w:p w14:paraId="0DB3A945" w14:textId="6C0CA784" w:rsidR="00EA6BCE" w:rsidRPr="00B52D2F" w:rsidRDefault="001D1A10" w:rsidP="009A7839">
      <w:pPr>
        <w:pStyle w:val="Caption"/>
        <w:jc w:val="center"/>
        <w:rPr>
          <w:rFonts w:ascii="Palatino Linotype" w:hAnsi="Palatino Linotype"/>
          <w:sz w:val="24"/>
          <w:szCs w:val="24"/>
        </w:rPr>
      </w:pPr>
      <w:bookmarkStart w:id="2" w:name="_Toc55394591"/>
      <w:r w:rsidRPr="00B52D2F">
        <w:rPr>
          <w:rFonts w:ascii="Palatino Linotype" w:hAnsi="Palatino Linotype"/>
          <w:sz w:val="24"/>
          <w:szCs w:val="24"/>
        </w:rPr>
        <w:t>ES-</w:t>
      </w:r>
      <w:r w:rsidR="00A3489F" w:rsidRPr="00B52D2F">
        <w:rPr>
          <w:rFonts w:ascii="Palatino Linotype" w:hAnsi="Palatino Linotype"/>
          <w:sz w:val="24"/>
          <w:szCs w:val="24"/>
        </w:rPr>
        <w:t xml:space="preserve">Table </w:t>
      </w:r>
      <w:r w:rsidR="00D81867" w:rsidRPr="00B52D2F">
        <w:rPr>
          <w:rFonts w:ascii="Palatino Linotype" w:hAnsi="Palatino Linotype"/>
          <w:sz w:val="24"/>
          <w:szCs w:val="24"/>
        </w:rPr>
        <w:fldChar w:fldCharType="begin"/>
      </w:r>
      <w:r w:rsidR="00D81867" w:rsidRPr="00B52D2F">
        <w:rPr>
          <w:rFonts w:ascii="Palatino Linotype" w:hAnsi="Palatino Linotype"/>
          <w:sz w:val="24"/>
          <w:szCs w:val="24"/>
        </w:rPr>
        <w:instrText xml:space="preserve"> SEQ Table \* ARABIC </w:instrText>
      </w:r>
      <w:r w:rsidR="00D81867" w:rsidRPr="00B52D2F">
        <w:rPr>
          <w:rFonts w:ascii="Palatino Linotype" w:hAnsi="Palatino Linotype"/>
          <w:sz w:val="24"/>
          <w:szCs w:val="24"/>
        </w:rPr>
        <w:fldChar w:fldCharType="separate"/>
      </w:r>
      <w:r w:rsidR="00C8735F">
        <w:rPr>
          <w:rFonts w:ascii="Palatino Linotype" w:hAnsi="Palatino Linotype"/>
          <w:noProof/>
          <w:sz w:val="24"/>
          <w:szCs w:val="24"/>
        </w:rPr>
        <w:t>1</w:t>
      </w:r>
      <w:r w:rsidR="00D81867" w:rsidRPr="00B52D2F">
        <w:rPr>
          <w:rFonts w:ascii="Palatino Linotype" w:hAnsi="Palatino Linotype"/>
          <w:sz w:val="24"/>
          <w:szCs w:val="24"/>
        </w:rPr>
        <w:fldChar w:fldCharType="end"/>
      </w:r>
      <w:r w:rsidR="00A3489F" w:rsidRPr="00B52D2F">
        <w:rPr>
          <w:rFonts w:ascii="Palatino Linotype" w:hAnsi="Palatino Linotype" w:cs="Palatino Linotype"/>
          <w:bCs w:val="0"/>
          <w:sz w:val="24"/>
          <w:szCs w:val="24"/>
        </w:rPr>
        <w:t>:  The Costs and Benefits of</w:t>
      </w:r>
      <w:r w:rsidR="00EA6BCE" w:rsidRPr="00B52D2F">
        <w:rPr>
          <w:rFonts w:ascii="Palatino Linotype" w:hAnsi="Palatino Linotype" w:cs="Palatino Linotype"/>
          <w:bCs w:val="0"/>
          <w:sz w:val="24"/>
          <w:szCs w:val="24"/>
        </w:rPr>
        <w:t xml:space="preserve"> a 2</w:t>
      </w:r>
      <w:r w:rsidR="00ED2D3E" w:rsidRPr="00B52D2F">
        <w:rPr>
          <w:rFonts w:ascii="Palatino Linotype" w:hAnsi="Palatino Linotype" w:cs="Palatino Linotype"/>
          <w:bCs w:val="0"/>
          <w:sz w:val="24"/>
          <w:szCs w:val="24"/>
        </w:rPr>
        <w:t>5</w:t>
      </w:r>
      <w:r w:rsidR="00EA6BCE" w:rsidRPr="00B52D2F">
        <w:rPr>
          <w:rFonts w:ascii="Palatino Linotype" w:hAnsi="Palatino Linotype" w:cs="Palatino Linotype"/>
          <w:bCs w:val="0"/>
          <w:sz w:val="24"/>
          <w:szCs w:val="24"/>
        </w:rPr>
        <w:t>%</w:t>
      </w:r>
      <w:r w:rsidR="00A3489F" w:rsidRPr="00B52D2F">
        <w:rPr>
          <w:rFonts w:ascii="Palatino Linotype" w:hAnsi="Palatino Linotype" w:cs="Palatino Linotype"/>
          <w:bCs w:val="0"/>
          <w:sz w:val="24"/>
          <w:szCs w:val="24"/>
        </w:rPr>
        <w:t xml:space="preserve"> </w:t>
      </w:r>
      <w:bookmarkEnd w:id="1"/>
      <w:r w:rsidR="00EA6BCE" w:rsidRPr="00B52D2F">
        <w:rPr>
          <w:rFonts w:ascii="Palatino Linotype" w:hAnsi="Palatino Linotype" w:cs="Palatino Linotype"/>
          <w:bCs w:val="0"/>
          <w:sz w:val="24"/>
          <w:szCs w:val="24"/>
        </w:rPr>
        <w:t xml:space="preserve">Cap on </w:t>
      </w:r>
      <w:r w:rsidR="003E7629" w:rsidRPr="00B52D2F">
        <w:rPr>
          <w:rFonts w:ascii="Palatino Linotype" w:hAnsi="Palatino Linotype" w:cs="Palatino Linotype"/>
          <w:bCs w:val="0"/>
          <w:sz w:val="24"/>
          <w:szCs w:val="24"/>
        </w:rPr>
        <w:t xml:space="preserve">Virginia </w:t>
      </w:r>
      <w:r w:rsidR="00EA6BCE" w:rsidRPr="00B52D2F">
        <w:rPr>
          <w:rFonts w:ascii="Palatino Linotype" w:hAnsi="Palatino Linotype" w:cs="Palatino Linotype"/>
          <w:bCs w:val="0"/>
          <w:sz w:val="24"/>
          <w:szCs w:val="24"/>
        </w:rPr>
        <w:t>Gasoline and Diesel Emissions</w:t>
      </w:r>
      <w:bookmarkEnd w:id="2"/>
    </w:p>
    <w:tbl>
      <w:tblPr>
        <w:tblW w:w="9595" w:type="dxa"/>
        <w:tblLook w:val="04A0" w:firstRow="1" w:lastRow="0" w:firstColumn="1" w:lastColumn="0" w:noHBand="0" w:noVBand="1"/>
      </w:tblPr>
      <w:tblGrid>
        <w:gridCol w:w="4911"/>
        <w:gridCol w:w="924"/>
        <w:gridCol w:w="985"/>
        <w:gridCol w:w="925"/>
        <w:gridCol w:w="925"/>
        <w:gridCol w:w="925"/>
      </w:tblGrid>
      <w:tr w:rsidR="003B0AB2" w:rsidRPr="00E315BA" w14:paraId="1D2E4A99" w14:textId="77777777" w:rsidTr="00EA6BCE">
        <w:trPr>
          <w:trHeight w:val="264"/>
        </w:trPr>
        <w:tc>
          <w:tcPr>
            <w:tcW w:w="4911" w:type="dxa"/>
            <w:tcBorders>
              <w:top w:val="single" w:sz="4" w:space="0" w:color="auto"/>
              <w:left w:val="nil"/>
              <w:bottom w:val="single" w:sz="4" w:space="0" w:color="auto"/>
              <w:right w:val="nil"/>
            </w:tcBorders>
            <w:shd w:val="clear" w:color="auto" w:fill="auto"/>
            <w:noWrap/>
            <w:vAlign w:val="bottom"/>
            <w:hideMark/>
          </w:tcPr>
          <w:p w14:paraId="407166B3" w14:textId="1E35499B" w:rsidR="003B0AB2" w:rsidRPr="00B52D2F" w:rsidRDefault="003B0AB2" w:rsidP="003B0AB2">
            <w:pPr>
              <w:rPr>
                <w:rFonts w:ascii="Palatino Linotype" w:hAnsi="Palatino Linotype"/>
                <w:sz w:val="22"/>
                <w:szCs w:val="22"/>
              </w:rPr>
            </w:pPr>
            <w:r w:rsidRPr="00B52D2F">
              <w:rPr>
                <w:rFonts w:ascii="Palatino Linotype" w:hAnsi="Palatino Linotype"/>
                <w:color w:val="000000" w:themeColor="text1"/>
                <w:sz w:val="22"/>
                <w:szCs w:val="22"/>
              </w:rPr>
              <w:t>Variable</w:t>
            </w:r>
          </w:p>
        </w:tc>
        <w:tc>
          <w:tcPr>
            <w:tcW w:w="924" w:type="dxa"/>
            <w:tcBorders>
              <w:top w:val="single" w:sz="4" w:space="0" w:color="auto"/>
              <w:left w:val="nil"/>
              <w:bottom w:val="single" w:sz="4" w:space="0" w:color="auto"/>
              <w:right w:val="nil"/>
            </w:tcBorders>
            <w:shd w:val="clear" w:color="auto" w:fill="auto"/>
            <w:noWrap/>
            <w:vAlign w:val="bottom"/>
            <w:hideMark/>
          </w:tcPr>
          <w:p w14:paraId="597DC86D" w14:textId="56266C64" w:rsidR="003B0AB2" w:rsidRPr="00B52D2F" w:rsidRDefault="003B0AB2" w:rsidP="003B0AB2">
            <w:pPr>
              <w:jc w:val="right"/>
              <w:rPr>
                <w:rFonts w:ascii="Palatino Linotype" w:hAnsi="Palatino Linotype" w:cs="Arial"/>
                <w:sz w:val="22"/>
                <w:szCs w:val="22"/>
              </w:rPr>
            </w:pPr>
            <w:r w:rsidRPr="00B52D2F">
              <w:rPr>
                <w:rFonts w:ascii="Palatino Linotype" w:hAnsi="Palatino Linotype" w:cs="Arial"/>
                <w:color w:val="000000" w:themeColor="text1"/>
                <w:sz w:val="22"/>
                <w:szCs w:val="22"/>
              </w:rPr>
              <w:t>2022</w:t>
            </w:r>
          </w:p>
        </w:tc>
        <w:tc>
          <w:tcPr>
            <w:tcW w:w="985" w:type="dxa"/>
            <w:tcBorders>
              <w:top w:val="single" w:sz="4" w:space="0" w:color="auto"/>
              <w:left w:val="nil"/>
              <w:bottom w:val="single" w:sz="4" w:space="0" w:color="auto"/>
              <w:right w:val="nil"/>
            </w:tcBorders>
          </w:tcPr>
          <w:p w14:paraId="497EF0E9" w14:textId="2EE8AA1E" w:rsidR="003B0AB2" w:rsidRPr="00B52D2F" w:rsidRDefault="003B0AB2" w:rsidP="003B0AB2">
            <w:pPr>
              <w:ind w:left="-120"/>
              <w:jc w:val="right"/>
              <w:rPr>
                <w:rFonts w:ascii="Palatino Linotype" w:hAnsi="Palatino Linotype" w:cs="Arial"/>
                <w:sz w:val="22"/>
                <w:szCs w:val="22"/>
              </w:rPr>
            </w:pPr>
            <w:r w:rsidRPr="00B52D2F">
              <w:rPr>
                <w:rFonts w:ascii="Palatino Linotype" w:hAnsi="Palatino Linotype" w:cs="Arial"/>
                <w:color w:val="000000" w:themeColor="text1"/>
                <w:sz w:val="22"/>
                <w:szCs w:val="22"/>
              </w:rPr>
              <w:t>2023</w:t>
            </w:r>
          </w:p>
        </w:tc>
        <w:tc>
          <w:tcPr>
            <w:tcW w:w="925" w:type="dxa"/>
            <w:tcBorders>
              <w:top w:val="single" w:sz="4" w:space="0" w:color="auto"/>
              <w:left w:val="nil"/>
              <w:bottom w:val="single" w:sz="4" w:space="0" w:color="auto"/>
              <w:right w:val="nil"/>
            </w:tcBorders>
            <w:shd w:val="clear" w:color="auto" w:fill="auto"/>
            <w:noWrap/>
            <w:vAlign w:val="bottom"/>
            <w:hideMark/>
          </w:tcPr>
          <w:p w14:paraId="25ED0964" w14:textId="72626597" w:rsidR="003B0AB2" w:rsidRPr="00B52D2F" w:rsidRDefault="003B0AB2" w:rsidP="003B0AB2">
            <w:pPr>
              <w:jc w:val="right"/>
              <w:rPr>
                <w:rFonts w:ascii="Palatino Linotype" w:hAnsi="Palatino Linotype" w:cs="Arial"/>
                <w:sz w:val="22"/>
                <w:szCs w:val="22"/>
              </w:rPr>
            </w:pPr>
            <w:r w:rsidRPr="00B52D2F">
              <w:rPr>
                <w:rFonts w:ascii="Palatino Linotype" w:hAnsi="Palatino Linotype" w:cs="Arial"/>
                <w:color w:val="000000" w:themeColor="text1"/>
                <w:sz w:val="22"/>
                <w:szCs w:val="22"/>
              </w:rPr>
              <w:t>2024</w:t>
            </w:r>
          </w:p>
        </w:tc>
        <w:tc>
          <w:tcPr>
            <w:tcW w:w="925" w:type="dxa"/>
            <w:tcBorders>
              <w:top w:val="single" w:sz="4" w:space="0" w:color="auto"/>
              <w:left w:val="nil"/>
              <w:bottom w:val="single" w:sz="4" w:space="0" w:color="auto"/>
              <w:right w:val="nil"/>
            </w:tcBorders>
            <w:shd w:val="clear" w:color="auto" w:fill="auto"/>
            <w:noWrap/>
            <w:vAlign w:val="bottom"/>
            <w:hideMark/>
          </w:tcPr>
          <w:p w14:paraId="118E06A4" w14:textId="0DCA7172" w:rsidR="003B0AB2" w:rsidRPr="00B52D2F" w:rsidRDefault="003B0AB2" w:rsidP="003B0AB2">
            <w:pPr>
              <w:jc w:val="right"/>
              <w:rPr>
                <w:rFonts w:ascii="Palatino Linotype" w:hAnsi="Palatino Linotype" w:cs="Arial"/>
                <w:sz w:val="22"/>
                <w:szCs w:val="22"/>
              </w:rPr>
            </w:pPr>
            <w:r w:rsidRPr="00B52D2F">
              <w:rPr>
                <w:rFonts w:ascii="Palatino Linotype" w:hAnsi="Palatino Linotype" w:cs="Arial"/>
                <w:color w:val="000000" w:themeColor="text1"/>
                <w:sz w:val="22"/>
                <w:szCs w:val="22"/>
              </w:rPr>
              <w:t>2025</w:t>
            </w:r>
          </w:p>
        </w:tc>
        <w:tc>
          <w:tcPr>
            <w:tcW w:w="925" w:type="dxa"/>
            <w:tcBorders>
              <w:top w:val="single" w:sz="4" w:space="0" w:color="auto"/>
              <w:left w:val="nil"/>
              <w:bottom w:val="single" w:sz="4" w:space="0" w:color="auto"/>
              <w:right w:val="nil"/>
            </w:tcBorders>
            <w:shd w:val="clear" w:color="auto" w:fill="auto"/>
            <w:noWrap/>
            <w:vAlign w:val="bottom"/>
            <w:hideMark/>
          </w:tcPr>
          <w:p w14:paraId="10A175BB" w14:textId="770814E8" w:rsidR="003B0AB2" w:rsidRPr="00B52D2F" w:rsidRDefault="003B0AB2" w:rsidP="003B0AB2">
            <w:pPr>
              <w:jc w:val="right"/>
              <w:rPr>
                <w:rFonts w:ascii="Palatino Linotype" w:hAnsi="Palatino Linotype" w:cs="Arial"/>
                <w:sz w:val="22"/>
                <w:szCs w:val="22"/>
              </w:rPr>
            </w:pPr>
            <w:r w:rsidRPr="00B52D2F">
              <w:rPr>
                <w:rFonts w:ascii="Palatino Linotype" w:hAnsi="Palatino Linotype" w:cs="Arial"/>
                <w:color w:val="000000" w:themeColor="text1"/>
                <w:sz w:val="22"/>
                <w:szCs w:val="22"/>
              </w:rPr>
              <w:t>2026</w:t>
            </w:r>
          </w:p>
        </w:tc>
      </w:tr>
      <w:tr w:rsidR="00CB376E" w:rsidRPr="00E315BA" w14:paraId="5D810626" w14:textId="77777777" w:rsidTr="00D520F1">
        <w:trPr>
          <w:trHeight w:val="264"/>
        </w:trPr>
        <w:tc>
          <w:tcPr>
            <w:tcW w:w="4911" w:type="dxa"/>
            <w:tcBorders>
              <w:top w:val="nil"/>
              <w:left w:val="nil"/>
              <w:right w:val="nil"/>
            </w:tcBorders>
            <w:shd w:val="clear" w:color="auto" w:fill="auto"/>
            <w:noWrap/>
            <w:vAlign w:val="bottom"/>
          </w:tcPr>
          <w:p w14:paraId="13F083E3" w14:textId="6768D45A" w:rsidR="00CB376E" w:rsidRPr="00B52D2F" w:rsidRDefault="00CB376E" w:rsidP="00CB376E">
            <w:pPr>
              <w:rPr>
                <w:rFonts w:ascii="Palatino Linotype" w:hAnsi="Palatino Linotype" w:cs="Arial"/>
                <w:sz w:val="22"/>
                <w:szCs w:val="22"/>
              </w:rPr>
            </w:pPr>
            <w:r w:rsidRPr="00B52D2F">
              <w:rPr>
                <w:rFonts w:ascii="Palatino Linotype" w:hAnsi="Palatino Linotype" w:cs="Arial"/>
                <w:color w:val="000000" w:themeColor="text1"/>
                <w:sz w:val="22"/>
                <w:szCs w:val="22"/>
              </w:rPr>
              <w:t>Revenue changes other state taxes ($, mil.)</w:t>
            </w:r>
          </w:p>
        </w:tc>
        <w:tc>
          <w:tcPr>
            <w:tcW w:w="924" w:type="dxa"/>
            <w:tcBorders>
              <w:top w:val="nil"/>
              <w:left w:val="nil"/>
              <w:right w:val="nil"/>
            </w:tcBorders>
            <w:shd w:val="clear" w:color="auto" w:fill="auto"/>
            <w:noWrap/>
            <w:vAlign w:val="bottom"/>
          </w:tcPr>
          <w:p w14:paraId="0D0046B4" w14:textId="6485EAA4" w:rsidR="00CB376E" w:rsidRPr="00B52D2F" w:rsidRDefault="00CB376E" w:rsidP="00CB376E">
            <w:pPr>
              <w:jc w:val="right"/>
              <w:rPr>
                <w:rFonts w:ascii="Palatino Linotype" w:hAnsi="Palatino Linotype" w:cs="Arial"/>
                <w:sz w:val="22"/>
                <w:szCs w:val="22"/>
              </w:rPr>
            </w:pPr>
            <w:r w:rsidRPr="00E315BA">
              <w:rPr>
                <w:rFonts w:ascii="Palatino Linotype" w:hAnsi="Palatino Linotype" w:cs="Calibri"/>
                <w:color w:val="000000"/>
                <w:sz w:val="22"/>
                <w:szCs w:val="22"/>
              </w:rPr>
              <w:t>-48</w:t>
            </w:r>
          </w:p>
        </w:tc>
        <w:tc>
          <w:tcPr>
            <w:tcW w:w="985" w:type="dxa"/>
            <w:tcBorders>
              <w:top w:val="nil"/>
              <w:left w:val="nil"/>
              <w:right w:val="nil"/>
            </w:tcBorders>
            <w:vAlign w:val="bottom"/>
          </w:tcPr>
          <w:p w14:paraId="5EA51372" w14:textId="00876FCC" w:rsidR="00CB376E" w:rsidRPr="00B52D2F" w:rsidRDefault="00CB376E" w:rsidP="00CB376E">
            <w:pPr>
              <w:jc w:val="right"/>
              <w:rPr>
                <w:rFonts w:ascii="Palatino Linotype" w:hAnsi="Palatino Linotype" w:cs="Arial"/>
                <w:sz w:val="22"/>
                <w:szCs w:val="22"/>
              </w:rPr>
            </w:pPr>
            <w:r w:rsidRPr="00E315BA">
              <w:rPr>
                <w:rFonts w:ascii="Palatino Linotype" w:hAnsi="Palatino Linotype" w:cs="Calibri"/>
                <w:color w:val="000000"/>
                <w:sz w:val="22"/>
                <w:szCs w:val="22"/>
              </w:rPr>
              <w:t>-46</w:t>
            </w:r>
          </w:p>
        </w:tc>
        <w:tc>
          <w:tcPr>
            <w:tcW w:w="925" w:type="dxa"/>
            <w:tcBorders>
              <w:top w:val="nil"/>
              <w:left w:val="nil"/>
              <w:right w:val="nil"/>
            </w:tcBorders>
            <w:shd w:val="clear" w:color="auto" w:fill="auto"/>
            <w:noWrap/>
            <w:vAlign w:val="bottom"/>
          </w:tcPr>
          <w:p w14:paraId="7DE7F51F" w14:textId="66D88CE5" w:rsidR="00CB376E" w:rsidRPr="00B52D2F" w:rsidRDefault="00CB376E" w:rsidP="00CB376E">
            <w:pPr>
              <w:jc w:val="right"/>
              <w:rPr>
                <w:rFonts w:ascii="Palatino Linotype" w:hAnsi="Palatino Linotype" w:cs="Arial"/>
                <w:sz w:val="22"/>
                <w:szCs w:val="22"/>
              </w:rPr>
            </w:pPr>
            <w:r w:rsidRPr="00E315BA">
              <w:rPr>
                <w:rFonts w:ascii="Palatino Linotype" w:hAnsi="Palatino Linotype" w:cs="Calibri"/>
                <w:color w:val="000000"/>
                <w:sz w:val="22"/>
                <w:szCs w:val="22"/>
              </w:rPr>
              <w:t>-44</w:t>
            </w:r>
          </w:p>
        </w:tc>
        <w:tc>
          <w:tcPr>
            <w:tcW w:w="925" w:type="dxa"/>
            <w:tcBorders>
              <w:top w:val="nil"/>
              <w:left w:val="nil"/>
              <w:right w:val="nil"/>
            </w:tcBorders>
            <w:shd w:val="clear" w:color="auto" w:fill="auto"/>
            <w:noWrap/>
            <w:vAlign w:val="bottom"/>
          </w:tcPr>
          <w:p w14:paraId="46B39801" w14:textId="1CA21858" w:rsidR="00CB376E" w:rsidRPr="00B52D2F" w:rsidRDefault="00CB376E" w:rsidP="00CB376E">
            <w:pPr>
              <w:jc w:val="right"/>
              <w:rPr>
                <w:rFonts w:ascii="Palatino Linotype" w:hAnsi="Palatino Linotype" w:cs="Arial"/>
                <w:sz w:val="22"/>
                <w:szCs w:val="22"/>
              </w:rPr>
            </w:pPr>
            <w:r w:rsidRPr="00E315BA">
              <w:rPr>
                <w:rFonts w:ascii="Palatino Linotype" w:hAnsi="Palatino Linotype" w:cs="Calibri"/>
                <w:color w:val="000000"/>
                <w:sz w:val="22"/>
                <w:szCs w:val="22"/>
              </w:rPr>
              <w:t>-42</w:t>
            </w:r>
          </w:p>
        </w:tc>
        <w:tc>
          <w:tcPr>
            <w:tcW w:w="925" w:type="dxa"/>
            <w:tcBorders>
              <w:top w:val="nil"/>
              <w:left w:val="nil"/>
              <w:right w:val="nil"/>
            </w:tcBorders>
            <w:shd w:val="clear" w:color="auto" w:fill="auto"/>
            <w:noWrap/>
            <w:vAlign w:val="bottom"/>
          </w:tcPr>
          <w:p w14:paraId="72DB2E02" w14:textId="1988DF5A" w:rsidR="00CB376E" w:rsidRPr="00B52D2F" w:rsidRDefault="00CB376E" w:rsidP="00CB376E">
            <w:pPr>
              <w:jc w:val="right"/>
              <w:rPr>
                <w:rFonts w:ascii="Palatino Linotype" w:hAnsi="Palatino Linotype" w:cs="Arial"/>
                <w:sz w:val="22"/>
                <w:szCs w:val="22"/>
              </w:rPr>
            </w:pPr>
            <w:r w:rsidRPr="00E315BA">
              <w:rPr>
                <w:rFonts w:ascii="Palatino Linotype" w:hAnsi="Palatino Linotype" w:cs="Calibri"/>
                <w:color w:val="000000"/>
                <w:sz w:val="22"/>
                <w:szCs w:val="22"/>
              </w:rPr>
              <w:t>-43</w:t>
            </w:r>
          </w:p>
        </w:tc>
      </w:tr>
      <w:tr w:rsidR="00CB376E" w:rsidRPr="00E315BA" w14:paraId="7C3868EE" w14:textId="77777777" w:rsidTr="009B55D6">
        <w:trPr>
          <w:trHeight w:val="264"/>
        </w:trPr>
        <w:tc>
          <w:tcPr>
            <w:tcW w:w="4911" w:type="dxa"/>
            <w:tcBorders>
              <w:top w:val="nil"/>
              <w:left w:val="nil"/>
              <w:right w:val="nil"/>
            </w:tcBorders>
            <w:shd w:val="clear" w:color="auto" w:fill="auto"/>
            <w:noWrap/>
            <w:vAlign w:val="bottom"/>
          </w:tcPr>
          <w:p w14:paraId="39D5D0B9" w14:textId="26111BC1" w:rsidR="00CB376E" w:rsidRPr="00B52D2F" w:rsidRDefault="00CB376E" w:rsidP="00CB376E">
            <w:pPr>
              <w:rPr>
                <w:rFonts w:ascii="Palatino Linotype" w:hAnsi="Palatino Linotype" w:cs="Arial"/>
                <w:sz w:val="22"/>
                <w:szCs w:val="22"/>
              </w:rPr>
            </w:pPr>
            <w:r w:rsidRPr="00B52D2F">
              <w:rPr>
                <w:rFonts w:ascii="Palatino Linotype" w:hAnsi="Palatino Linotype" w:cs="Arial"/>
                <w:color w:val="000000" w:themeColor="text1"/>
                <w:sz w:val="22"/>
                <w:szCs w:val="22"/>
              </w:rPr>
              <w:t>Private employment (jobs)</w:t>
            </w:r>
          </w:p>
        </w:tc>
        <w:tc>
          <w:tcPr>
            <w:tcW w:w="924" w:type="dxa"/>
            <w:tcBorders>
              <w:top w:val="nil"/>
              <w:left w:val="nil"/>
              <w:right w:val="nil"/>
            </w:tcBorders>
            <w:shd w:val="clear" w:color="auto" w:fill="auto"/>
            <w:noWrap/>
            <w:vAlign w:val="bottom"/>
          </w:tcPr>
          <w:p w14:paraId="5AB518C8" w14:textId="6EE88443" w:rsidR="00CB376E" w:rsidRPr="00B52D2F" w:rsidRDefault="008E2D6A" w:rsidP="00CB376E">
            <w:pPr>
              <w:jc w:val="right"/>
              <w:rPr>
                <w:rFonts w:ascii="Palatino Linotype" w:hAnsi="Palatino Linotype" w:cs="Arial"/>
                <w:sz w:val="22"/>
                <w:szCs w:val="22"/>
              </w:rPr>
            </w:pPr>
            <w:r>
              <w:rPr>
                <w:rFonts w:ascii="Palatino Linotype" w:hAnsi="Palatino Linotype" w:cs="Calibri"/>
                <w:color w:val="000000"/>
                <w:sz w:val="22"/>
                <w:szCs w:val="22"/>
              </w:rPr>
              <w:t>-</w:t>
            </w:r>
            <w:r w:rsidR="00CB376E" w:rsidRPr="00E315BA">
              <w:rPr>
                <w:rFonts w:ascii="Palatino Linotype" w:hAnsi="Palatino Linotype" w:cs="Calibri"/>
                <w:color w:val="000000"/>
                <w:sz w:val="22"/>
                <w:szCs w:val="22"/>
              </w:rPr>
              <w:t>12,884</w:t>
            </w:r>
          </w:p>
        </w:tc>
        <w:tc>
          <w:tcPr>
            <w:tcW w:w="985" w:type="dxa"/>
            <w:tcBorders>
              <w:top w:val="nil"/>
              <w:left w:val="nil"/>
              <w:right w:val="nil"/>
            </w:tcBorders>
            <w:vAlign w:val="bottom"/>
          </w:tcPr>
          <w:p w14:paraId="708486BF" w14:textId="3E44F86B" w:rsidR="00CB376E" w:rsidRPr="00B52D2F" w:rsidRDefault="00CB376E" w:rsidP="00CB376E">
            <w:pPr>
              <w:jc w:val="right"/>
              <w:rPr>
                <w:rFonts w:ascii="Palatino Linotype" w:hAnsi="Palatino Linotype" w:cs="Arial"/>
                <w:sz w:val="22"/>
                <w:szCs w:val="22"/>
              </w:rPr>
            </w:pPr>
            <w:r w:rsidRPr="00E315BA">
              <w:rPr>
                <w:rFonts w:ascii="Palatino Linotype" w:hAnsi="Palatino Linotype" w:cs="Calibri"/>
                <w:color w:val="000000"/>
                <w:sz w:val="22"/>
                <w:szCs w:val="22"/>
              </w:rPr>
              <w:t>-12,567</w:t>
            </w:r>
          </w:p>
        </w:tc>
        <w:tc>
          <w:tcPr>
            <w:tcW w:w="925" w:type="dxa"/>
            <w:tcBorders>
              <w:top w:val="nil"/>
              <w:left w:val="nil"/>
              <w:right w:val="nil"/>
            </w:tcBorders>
            <w:shd w:val="clear" w:color="auto" w:fill="auto"/>
            <w:noWrap/>
            <w:vAlign w:val="bottom"/>
          </w:tcPr>
          <w:p w14:paraId="27324247" w14:textId="2A18985F" w:rsidR="00CB376E" w:rsidRPr="00B52D2F" w:rsidRDefault="00280B9D" w:rsidP="00CB376E">
            <w:pPr>
              <w:jc w:val="right"/>
              <w:rPr>
                <w:rFonts w:ascii="Palatino Linotype" w:hAnsi="Palatino Linotype" w:cs="Arial"/>
                <w:sz w:val="22"/>
                <w:szCs w:val="22"/>
              </w:rPr>
            </w:pPr>
            <w:r>
              <w:rPr>
                <w:rFonts w:ascii="Palatino Linotype" w:hAnsi="Palatino Linotype" w:cs="Calibri"/>
                <w:color w:val="000000"/>
                <w:sz w:val="22"/>
                <w:szCs w:val="22"/>
              </w:rPr>
              <w:t>-</w:t>
            </w:r>
            <w:r w:rsidR="00CB376E" w:rsidRPr="00E315BA">
              <w:rPr>
                <w:rFonts w:ascii="Palatino Linotype" w:hAnsi="Palatino Linotype" w:cs="Calibri"/>
                <w:color w:val="000000"/>
                <w:sz w:val="22"/>
                <w:szCs w:val="22"/>
              </w:rPr>
              <w:t>12,233</w:t>
            </w:r>
          </w:p>
        </w:tc>
        <w:tc>
          <w:tcPr>
            <w:tcW w:w="925" w:type="dxa"/>
            <w:tcBorders>
              <w:top w:val="nil"/>
              <w:left w:val="nil"/>
              <w:right w:val="nil"/>
            </w:tcBorders>
            <w:shd w:val="clear" w:color="auto" w:fill="auto"/>
            <w:noWrap/>
            <w:vAlign w:val="bottom"/>
          </w:tcPr>
          <w:p w14:paraId="4E255F0E" w14:textId="0C9A3853" w:rsidR="00CB376E" w:rsidRPr="00B52D2F" w:rsidRDefault="00280B9D" w:rsidP="00CB376E">
            <w:pPr>
              <w:jc w:val="right"/>
              <w:rPr>
                <w:rFonts w:ascii="Palatino Linotype" w:hAnsi="Palatino Linotype" w:cs="Arial"/>
                <w:sz w:val="22"/>
                <w:szCs w:val="22"/>
              </w:rPr>
            </w:pPr>
            <w:r>
              <w:rPr>
                <w:rFonts w:ascii="Palatino Linotype" w:hAnsi="Palatino Linotype" w:cs="Calibri"/>
                <w:color w:val="000000"/>
                <w:sz w:val="22"/>
                <w:szCs w:val="22"/>
              </w:rPr>
              <w:t>-</w:t>
            </w:r>
            <w:r w:rsidR="00CB376E" w:rsidRPr="00E315BA">
              <w:rPr>
                <w:rFonts w:ascii="Palatino Linotype" w:hAnsi="Palatino Linotype" w:cs="Calibri"/>
                <w:color w:val="000000"/>
                <w:sz w:val="22"/>
                <w:szCs w:val="22"/>
              </w:rPr>
              <w:t>11,860</w:t>
            </w:r>
          </w:p>
        </w:tc>
        <w:tc>
          <w:tcPr>
            <w:tcW w:w="925" w:type="dxa"/>
            <w:tcBorders>
              <w:top w:val="nil"/>
              <w:left w:val="nil"/>
              <w:right w:val="nil"/>
            </w:tcBorders>
            <w:shd w:val="clear" w:color="auto" w:fill="auto"/>
            <w:noWrap/>
            <w:vAlign w:val="bottom"/>
          </w:tcPr>
          <w:p w14:paraId="0ABC7DF2" w14:textId="136F8A64" w:rsidR="00CB376E" w:rsidRPr="00B52D2F" w:rsidRDefault="00280B9D" w:rsidP="00CB376E">
            <w:pPr>
              <w:jc w:val="right"/>
              <w:rPr>
                <w:rFonts w:ascii="Palatino Linotype" w:hAnsi="Palatino Linotype" w:cs="Arial"/>
                <w:sz w:val="22"/>
                <w:szCs w:val="22"/>
              </w:rPr>
            </w:pPr>
            <w:r>
              <w:rPr>
                <w:rFonts w:ascii="Palatino Linotype" w:hAnsi="Palatino Linotype" w:cs="Calibri"/>
                <w:color w:val="000000"/>
                <w:sz w:val="22"/>
                <w:szCs w:val="22"/>
              </w:rPr>
              <w:t>-</w:t>
            </w:r>
            <w:r w:rsidR="00CB376E" w:rsidRPr="00E315BA">
              <w:rPr>
                <w:rFonts w:ascii="Palatino Linotype" w:hAnsi="Palatino Linotype" w:cs="Calibri"/>
                <w:color w:val="000000"/>
                <w:sz w:val="22"/>
                <w:szCs w:val="22"/>
              </w:rPr>
              <w:t>11,424</w:t>
            </w:r>
          </w:p>
        </w:tc>
      </w:tr>
      <w:tr w:rsidR="00CB376E" w:rsidRPr="00E315BA" w14:paraId="19E29340" w14:textId="77777777" w:rsidTr="00EA6BCE">
        <w:trPr>
          <w:trHeight w:val="264"/>
        </w:trPr>
        <w:tc>
          <w:tcPr>
            <w:tcW w:w="4911" w:type="dxa"/>
            <w:tcBorders>
              <w:top w:val="nil"/>
              <w:left w:val="nil"/>
              <w:right w:val="nil"/>
            </w:tcBorders>
            <w:shd w:val="clear" w:color="auto" w:fill="auto"/>
            <w:noWrap/>
            <w:vAlign w:val="bottom"/>
          </w:tcPr>
          <w:p w14:paraId="1B1E5F42" w14:textId="38EC8573" w:rsidR="00CB376E" w:rsidRPr="00B52D2F" w:rsidRDefault="00CB376E" w:rsidP="00CB376E">
            <w:pPr>
              <w:rPr>
                <w:rFonts w:ascii="Palatino Linotype" w:hAnsi="Palatino Linotype" w:cs="Arial"/>
                <w:sz w:val="22"/>
                <w:szCs w:val="22"/>
              </w:rPr>
            </w:pPr>
            <w:r w:rsidRPr="00B52D2F">
              <w:rPr>
                <w:rFonts w:ascii="Palatino Linotype" w:hAnsi="Palatino Linotype" w:cs="Arial"/>
                <w:color w:val="000000" w:themeColor="text1"/>
                <w:sz w:val="22"/>
                <w:szCs w:val="22"/>
              </w:rPr>
              <w:t>Investment ($, mil.)</w:t>
            </w:r>
          </w:p>
        </w:tc>
        <w:tc>
          <w:tcPr>
            <w:tcW w:w="924" w:type="dxa"/>
            <w:tcBorders>
              <w:top w:val="nil"/>
              <w:left w:val="nil"/>
              <w:right w:val="nil"/>
            </w:tcBorders>
            <w:shd w:val="clear" w:color="auto" w:fill="auto"/>
            <w:noWrap/>
            <w:vAlign w:val="bottom"/>
          </w:tcPr>
          <w:p w14:paraId="773936EC" w14:textId="6C328050" w:rsidR="00CB376E" w:rsidRPr="00B52D2F" w:rsidRDefault="00CB376E" w:rsidP="00CB376E">
            <w:pPr>
              <w:jc w:val="right"/>
              <w:rPr>
                <w:rFonts w:ascii="Palatino Linotype" w:hAnsi="Palatino Linotype" w:cs="Arial"/>
                <w:sz w:val="22"/>
                <w:szCs w:val="22"/>
              </w:rPr>
            </w:pPr>
            <w:r w:rsidRPr="00E315BA">
              <w:rPr>
                <w:rFonts w:ascii="Palatino Linotype" w:hAnsi="Palatino Linotype" w:cs="Calibri"/>
                <w:color w:val="000000"/>
                <w:sz w:val="22"/>
                <w:szCs w:val="22"/>
              </w:rPr>
              <w:t>-165</w:t>
            </w:r>
          </w:p>
        </w:tc>
        <w:tc>
          <w:tcPr>
            <w:tcW w:w="985" w:type="dxa"/>
            <w:tcBorders>
              <w:top w:val="nil"/>
              <w:left w:val="nil"/>
              <w:right w:val="nil"/>
            </w:tcBorders>
            <w:vAlign w:val="bottom"/>
          </w:tcPr>
          <w:p w14:paraId="68FCF4AB" w14:textId="68717E76" w:rsidR="00CB376E" w:rsidRPr="00B52D2F" w:rsidRDefault="00CB376E" w:rsidP="00CB376E">
            <w:pPr>
              <w:jc w:val="right"/>
              <w:rPr>
                <w:rFonts w:ascii="Palatino Linotype" w:hAnsi="Palatino Linotype" w:cs="Arial"/>
                <w:sz w:val="22"/>
                <w:szCs w:val="22"/>
              </w:rPr>
            </w:pPr>
            <w:r w:rsidRPr="00E315BA">
              <w:rPr>
                <w:rFonts w:ascii="Palatino Linotype" w:hAnsi="Palatino Linotype" w:cs="Calibri"/>
                <w:color w:val="000000"/>
                <w:sz w:val="22"/>
                <w:szCs w:val="22"/>
              </w:rPr>
              <w:t>-171</w:t>
            </w:r>
          </w:p>
        </w:tc>
        <w:tc>
          <w:tcPr>
            <w:tcW w:w="925" w:type="dxa"/>
            <w:tcBorders>
              <w:top w:val="nil"/>
              <w:left w:val="nil"/>
              <w:right w:val="nil"/>
            </w:tcBorders>
            <w:shd w:val="clear" w:color="auto" w:fill="auto"/>
            <w:noWrap/>
            <w:vAlign w:val="bottom"/>
          </w:tcPr>
          <w:p w14:paraId="4B43248E" w14:textId="650D6961" w:rsidR="00CB376E" w:rsidRPr="00B52D2F" w:rsidRDefault="00CB376E" w:rsidP="00CB376E">
            <w:pPr>
              <w:jc w:val="right"/>
              <w:rPr>
                <w:rFonts w:ascii="Palatino Linotype" w:hAnsi="Palatino Linotype" w:cs="Arial"/>
                <w:sz w:val="22"/>
                <w:szCs w:val="22"/>
              </w:rPr>
            </w:pPr>
            <w:r w:rsidRPr="00E315BA">
              <w:rPr>
                <w:rFonts w:ascii="Palatino Linotype" w:hAnsi="Palatino Linotype" w:cs="Calibri"/>
                <w:color w:val="000000"/>
                <w:sz w:val="22"/>
                <w:szCs w:val="22"/>
              </w:rPr>
              <w:t>-175</w:t>
            </w:r>
          </w:p>
        </w:tc>
        <w:tc>
          <w:tcPr>
            <w:tcW w:w="925" w:type="dxa"/>
            <w:tcBorders>
              <w:top w:val="nil"/>
              <w:left w:val="nil"/>
              <w:right w:val="nil"/>
            </w:tcBorders>
            <w:shd w:val="clear" w:color="auto" w:fill="auto"/>
            <w:noWrap/>
            <w:vAlign w:val="bottom"/>
          </w:tcPr>
          <w:p w14:paraId="69DE2CA8" w14:textId="4E909963" w:rsidR="00CB376E" w:rsidRPr="00B52D2F" w:rsidRDefault="00CB376E" w:rsidP="00CB376E">
            <w:pPr>
              <w:jc w:val="right"/>
              <w:rPr>
                <w:rFonts w:ascii="Palatino Linotype" w:hAnsi="Palatino Linotype" w:cs="Arial"/>
                <w:sz w:val="22"/>
                <w:szCs w:val="22"/>
              </w:rPr>
            </w:pPr>
            <w:r w:rsidRPr="00E315BA">
              <w:rPr>
                <w:rFonts w:ascii="Palatino Linotype" w:hAnsi="Palatino Linotype" w:cs="Calibri"/>
                <w:color w:val="000000"/>
                <w:sz w:val="22"/>
                <w:szCs w:val="22"/>
              </w:rPr>
              <w:t>-181</w:t>
            </w:r>
          </w:p>
        </w:tc>
        <w:tc>
          <w:tcPr>
            <w:tcW w:w="925" w:type="dxa"/>
            <w:tcBorders>
              <w:top w:val="nil"/>
              <w:left w:val="nil"/>
              <w:right w:val="nil"/>
            </w:tcBorders>
            <w:shd w:val="clear" w:color="auto" w:fill="auto"/>
            <w:noWrap/>
            <w:vAlign w:val="bottom"/>
          </w:tcPr>
          <w:p w14:paraId="0B641767" w14:textId="1C593B11" w:rsidR="00CB376E" w:rsidRPr="00E315BA" w:rsidRDefault="00CB376E" w:rsidP="00CB376E">
            <w:pPr>
              <w:jc w:val="right"/>
              <w:rPr>
                <w:rFonts w:ascii="Palatino Linotype" w:hAnsi="Palatino Linotype" w:cs="Arial"/>
                <w:sz w:val="22"/>
                <w:szCs w:val="22"/>
              </w:rPr>
            </w:pPr>
            <w:r w:rsidRPr="00E315BA">
              <w:rPr>
                <w:rFonts w:ascii="Palatino Linotype" w:hAnsi="Palatino Linotype" w:cs="Calibri"/>
                <w:color w:val="000000"/>
                <w:sz w:val="22"/>
                <w:szCs w:val="22"/>
              </w:rPr>
              <w:t>-187</w:t>
            </w:r>
          </w:p>
        </w:tc>
      </w:tr>
      <w:tr w:rsidR="00CB376E" w:rsidRPr="00E315BA" w14:paraId="0E548F39" w14:textId="77777777" w:rsidTr="00EA6BCE">
        <w:trPr>
          <w:trHeight w:val="264"/>
        </w:trPr>
        <w:tc>
          <w:tcPr>
            <w:tcW w:w="4911" w:type="dxa"/>
            <w:tcBorders>
              <w:top w:val="nil"/>
              <w:left w:val="nil"/>
              <w:right w:val="nil"/>
            </w:tcBorders>
            <w:shd w:val="clear" w:color="auto" w:fill="auto"/>
            <w:noWrap/>
            <w:vAlign w:val="bottom"/>
            <w:hideMark/>
          </w:tcPr>
          <w:p w14:paraId="2437C702" w14:textId="118CFECE" w:rsidR="00CB376E" w:rsidRPr="00E315BA" w:rsidRDefault="00CB376E" w:rsidP="00CB376E">
            <w:pPr>
              <w:rPr>
                <w:rFonts w:ascii="Palatino Linotype" w:hAnsi="Palatino Linotype" w:cs="Arial"/>
                <w:sz w:val="22"/>
                <w:szCs w:val="22"/>
              </w:rPr>
            </w:pPr>
            <w:r w:rsidRPr="00E315BA">
              <w:rPr>
                <w:rFonts w:ascii="Palatino Linotype" w:hAnsi="Palatino Linotype" w:cs="Arial"/>
                <w:color w:val="000000" w:themeColor="text1"/>
                <w:sz w:val="22"/>
                <w:szCs w:val="22"/>
              </w:rPr>
              <w:t>Disposable income, real ($, mil.)</w:t>
            </w:r>
          </w:p>
        </w:tc>
        <w:tc>
          <w:tcPr>
            <w:tcW w:w="924" w:type="dxa"/>
            <w:tcBorders>
              <w:top w:val="nil"/>
              <w:left w:val="nil"/>
              <w:right w:val="nil"/>
            </w:tcBorders>
            <w:shd w:val="clear" w:color="auto" w:fill="auto"/>
            <w:noWrap/>
            <w:vAlign w:val="bottom"/>
          </w:tcPr>
          <w:p w14:paraId="0ADA5984" w14:textId="263BB552" w:rsidR="00CB376E" w:rsidRPr="00E315BA" w:rsidRDefault="00CB376E" w:rsidP="00CB376E">
            <w:pPr>
              <w:jc w:val="right"/>
              <w:rPr>
                <w:rFonts w:ascii="Palatino Linotype" w:hAnsi="Palatino Linotype" w:cs="Arial"/>
                <w:sz w:val="22"/>
                <w:szCs w:val="22"/>
              </w:rPr>
            </w:pPr>
            <w:r w:rsidRPr="00E315BA">
              <w:rPr>
                <w:rFonts w:ascii="Palatino Linotype" w:hAnsi="Palatino Linotype" w:cs="Calibri"/>
                <w:color w:val="000000"/>
                <w:sz w:val="22"/>
                <w:szCs w:val="22"/>
              </w:rPr>
              <w:t>-2,307</w:t>
            </w:r>
          </w:p>
        </w:tc>
        <w:tc>
          <w:tcPr>
            <w:tcW w:w="985" w:type="dxa"/>
            <w:tcBorders>
              <w:top w:val="nil"/>
              <w:left w:val="nil"/>
              <w:right w:val="nil"/>
            </w:tcBorders>
            <w:vAlign w:val="bottom"/>
          </w:tcPr>
          <w:p w14:paraId="75A8E2DC" w14:textId="5BA7E2D4" w:rsidR="00CB376E" w:rsidRPr="00E315BA" w:rsidRDefault="00CB376E" w:rsidP="00CB376E">
            <w:pPr>
              <w:jc w:val="right"/>
              <w:rPr>
                <w:rFonts w:ascii="Palatino Linotype" w:hAnsi="Palatino Linotype" w:cs="Arial"/>
                <w:sz w:val="22"/>
                <w:szCs w:val="22"/>
              </w:rPr>
            </w:pPr>
            <w:r w:rsidRPr="00E315BA">
              <w:rPr>
                <w:rFonts w:ascii="Palatino Linotype" w:hAnsi="Palatino Linotype" w:cs="Calibri"/>
                <w:color w:val="000000"/>
                <w:sz w:val="22"/>
                <w:szCs w:val="22"/>
              </w:rPr>
              <w:t>-2,342</w:t>
            </w:r>
          </w:p>
        </w:tc>
        <w:tc>
          <w:tcPr>
            <w:tcW w:w="925" w:type="dxa"/>
            <w:tcBorders>
              <w:top w:val="nil"/>
              <w:left w:val="nil"/>
              <w:right w:val="nil"/>
            </w:tcBorders>
            <w:shd w:val="clear" w:color="auto" w:fill="auto"/>
            <w:noWrap/>
            <w:vAlign w:val="bottom"/>
          </w:tcPr>
          <w:p w14:paraId="6B13FDD1" w14:textId="52B5C943" w:rsidR="00CB376E" w:rsidRPr="00E315BA" w:rsidRDefault="00CB376E" w:rsidP="00CB376E">
            <w:pPr>
              <w:jc w:val="right"/>
              <w:rPr>
                <w:rFonts w:ascii="Palatino Linotype" w:hAnsi="Palatino Linotype" w:cs="Arial"/>
                <w:sz w:val="22"/>
                <w:szCs w:val="22"/>
              </w:rPr>
            </w:pPr>
            <w:r w:rsidRPr="00E315BA">
              <w:rPr>
                <w:rFonts w:ascii="Palatino Linotype" w:hAnsi="Palatino Linotype" w:cs="Calibri"/>
                <w:color w:val="000000"/>
                <w:sz w:val="22"/>
                <w:szCs w:val="22"/>
              </w:rPr>
              <w:t>-2,379</w:t>
            </w:r>
          </w:p>
        </w:tc>
        <w:tc>
          <w:tcPr>
            <w:tcW w:w="925" w:type="dxa"/>
            <w:tcBorders>
              <w:top w:val="nil"/>
              <w:left w:val="nil"/>
              <w:right w:val="nil"/>
            </w:tcBorders>
            <w:shd w:val="clear" w:color="auto" w:fill="auto"/>
            <w:noWrap/>
            <w:vAlign w:val="bottom"/>
          </w:tcPr>
          <w:p w14:paraId="78FD2A57" w14:textId="22F6FEE9" w:rsidR="00CB376E" w:rsidRPr="00E315BA" w:rsidRDefault="00CB376E" w:rsidP="00CB376E">
            <w:pPr>
              <w:jc w:val="right"/>
              <w:rPr>
                <w:rFonts w:ascii="Palatino Linotype" w:hAnsi="Palatino Linotype" w:cs="Arial"/>
                <w:sz w:val="22"/>
                <w:szCs w:val="22"/>
              </w:rPr>
            </w:pPr>
            <w:r w:rsidRPr="00E315BA">
              <w:rPr>
                <w:rFonts w:ascii="Palatino Linotype" w:hAnsi="Palatino Linotype" w:cs="Calibri"/>
                <w:color w:val="000000"/>
                <w:sz w:val="22"/>
                <w:szCs w:val="22"/>
              </w:rPr>
              <w:t>-2,414</w:t>
            </w:r>
          </w:p>
        </w:tc>
        <w:tc>
          <w:tcPr>
            <w:tcW w:w="925" w:type="dxa"/>
            <w:tcBorders>
              <w:top w:val="nil"/>
              <w:left w:val="nil"/>
              <w:right w:val="nil"/>
            </w:tcBorders>
            <w:shd w:val="clear" w:color="auto" w:fill="auto"/>
            <w:noWrap/>
            <w:vAlign w:val="bottom"/>
          </w:tcPr>
          <w:p w14:paraId="234E4FB5" w14:textId="789DF5E0" w:rsidR="00CB376E" w:rsidRPr="00E315BA" w:rsidRDefault="00CB376E" w:rsidP="00CB376E">
            <w:pPr>
              <w:jc w:val="right"/>
              <w:rPr>
                <w:rFonts w:ascii="Palatino Linotype" w:hAnsi="Palatino Linotype" w:cs="Arial"/>
                <w:sz w:val="22"/>
                <w:szCs w:val="22"/>
              </w:rPr>
            </w:pPr>
            <w:r w:rsidRPr="00E315BA">
              <w:rPr>
                <w:rFonts w:ascii="Palatino Linotype" w:hAnsi="Palatino Linotype" w:cs="Calibri"/>
                <w:color w:val="000000"/>
                <w:sz w:val="22"/>
                <w:szCs w:val="22"/>
              </w:rPr>
              <w:t>-2,449</w:t>
            </w:r>
          </w:p>
        </w:tc>
      </w:tr>
      <w:tr w:rsidR="00CB376E" w:rsidRPr="00E315BA" w14:paraId="5C247404" w14:textId="77777777" w:rsidTr="00EA6BCE">
        <w:trPr>
          <w:trHeight w:val="264"/>
        </w:trPr>
        <w:tc>
          <w:tcPr>
            <w:tcW w:w="4911" w:type="dxa"/>
            <w:tcBorders>
              <w:top w:val="nil"/>
              <w:left w:val="nil"/>
              <w:right w:val="nil"/>
            </w:tcBorders>
            <w:shd w:val="clear" w:color="auto" w:fill="auto"/>
            <w:noWrap/>
            <w:vAlign w:val="bottom"/>
            <w:hideMark/>
          </w:tcPr>
          <w:p w14:paraId="5D074796" w14:textId="05BD3FAC" w:rsidR="00CB376E" w:rsidRPr="00E315BA" w:rsidRDefault="00CB376E" w:rsidP="00CB376E">
            <w:pPr>
              <w:rPr>
                <w:rFonts w:ascii="Palatino Linotype" w:hAnsi="Palatino Linotype" w:cs="Arial"/>
                <w:sz w:val="22"/>
                <w:szCs w:val="22"/>
              </w:rPr>
            </w:pPr>
            <w:r w:rsidRPr="00E315BA">
              <w:rPr>
                <w:rFonts w:ascii="Palatino Linotype" w:hAnsi="Palatino Linotype" w:cs="Arial"/>
                <w:color w:val="000000" w:themeColor="text1"/>
                <w:sz w:val="22"/>
                <w:szCs w:val="22"/>
              </w:rPr>
              <w:t>Cost per household ($)</w:t>
            </w:r>
          </w:p>
        </w:tc>
        <w:tc>
          <w:tcPr>
            <w:tcW w:w="924" w:type="dxa"/>
            <w:tcBorders>
              <w:top w:val="nil"/>
              <w:left w:val="nil"/>
              <w:right w:val="nil"/>
            </w:tcBorders>
            <w:shd w:val="clear" w:color="auto" w:fill="auto"/>
            <w:noWrap/>
            <w:vAlign w:val="bottom"/>
          </w:tcPr>
          <w:p w14:paraId="7B522313" w14:textId="5EEE8C48" w:rsidR="00CB376E" w:rsidRPr="00E315BA" w:rsidRDefault="00CB376E" w:rsidP="00CB376E">
            <w:pPr>
              <w:jc w:val="right"/>
              <w:rPr>
                <w:rFonts w:ascii="Palatino Linotype" w:hAnsi="Palatino Linotype" w:cs="Arial"/>
                <w:sz w:val="22"/>
                <w:szCs w:val="22"/>
              </w:rPr>
            </w:pPr>
            <w:r w:rsidRPr="00E315BA">
              <w:rPr>
                <w:rFonts w:ascii="Palatino Linotype" w:hAnsi="Palatino Linotype" w:cs="Calibri"/>
                <w:color w:val="000000"/>
                <w:sz w:val="22"/>
                <w:szCs w:val="22"/>
              </w:rPr>
              <w:t>737</w:t>
            </w:r>
          </w:p>
        </w:tc>
        <w:tc>
          <w:tcPr>
            <w:tcW w:w="985" w:type="dxa"/>
            <w:tcBorders>
              <w:top w:val="nil"/>
              <w:left w:val="nil"/>
              <w:right w:val="nil"/>
            </w:tcBorders>
            <w:vAlign w:val="bottom"/>
          </w:tcPr>
          <w:p w14:paraId="19188B16" w14:textId="00889461" w:rsidR="00CB376E" w:rsidRPr="00E315BA" w:rsidRDefault="00CB376E" w:rsidP="00CB376E">
            <w:pPr>
              <w:jc w:val="right"/>
              <w:rPr>
                <w:rFonts w:ascii="Palatino Linotype" w:hAnsi="Palatino Linotype" w:cs="Arial"/>
                <w:sz w:val="22"/>
                <w:szCs w:val="22"/>
              </w:rPr>
            </w:pPr>
            <w:r w:rsidRPr="00E315BA">
              <w:rPr>
                <w:rFonts w:ascii="Palatino Linotype" w:hAnsi="Palatino Linotype" w:cs="Calibri"/>
                <w:color w:val="000000"/>
                <w:sz w:val="22"/>
                <w:szCs w:val="22"/>
              </w:rPr>
              <w:t>749</w:t>
            </w:r>
          </w:p>
        </w:tc>
        <w:tc>
          <w:tcPr>
            <w:tcW w:w="925" w:type="dxa"/>
            <w:tcBorders>
              <w:top w:val="nil"/>
              <w:left w:val="nil"/>
              <w:right w:val="nil"/>
            </w:tcBorders>
            <w:shd w:val="clear" w:color="auto" w:fill="auto"/>
            <w:noWrap/>
            <w:vAlign w:val="bottom"/>
          </w:tcPr>
          <w:p w14:paraId="5D9C9625" w14:textId="12B10823" w:rsidR="00CB376E" w:rsidRPr="00E315BA" w:rsidRDefault="00CB376E" w:rsidP="00CB376E">
            <w:pPr>
              <w:jc w:val="right"/>
              <w:rPr>
                <w:rFonts w:ascii="Palatino Linotype" w:hAnsi="Palatino Linotype" w:cs="Arial"/>
                <w:sz w:val="22"/>
                <w:szCs w:val="22"/>
              </w:rPr>
            </w:pPr>
            <w:r w:rsidRPr="00E315BA">
              <w:rPr>
                <w:rFonts w:ascii="Palatino Linotype" w:hAnsi="Palatino Linotype" w:cs="Calibri"/>
                <w:color w:val="000000"/>
                <w:sz w:val="22"/>
                <w:szCs w:val="22"/>
              </w:rPr>
              <w:t>760</w:t>
            </w:r>
          </w:p>
        </w:tc>
        <w:tc>
          <w:tcPr>
            <w:tcW w:w="925" w:type="dxa"/>
            <w:tcBorders>
              <w:top w:val="nil"/>
              <w:left w:val="nil"/>
              <w:right w:val="nil"/>
            </w:tcBorders>
            <w:shd w:val="clear" w:color="auto" w:fill="auto"/>
            <w:noWrap/>
            <w:vAlign w:val="bottom"/>
          </w:tcPr>
          <w:p w14:paraId="5B38EA66" w14:textId="2C91D15A" w:rsidR="00CB376E" w:rsidRPr="00E315BA" w:rsidRDefault="00CB376E" w:rsidP="00CB376E">
            <w:pPr>
              <w:jc w:val="right"/>
              <w:rPr>
                <w:rFonts w:ascii="Palatino Linotype" w:hAnsi="Palatino Linotype" w:cs="Arial"/>
                <w:sz w:val="22"/>
                <w:szCs w:val="22"/>
              </w:rPr>
            </w:pPr>
            <w:r w:rsidRPr="00E315BA">
              <w:rPr>
                <w:rFonts w:ascii="Palatino Linotype" w:hAnsi="Palatino Linotype" w:cs="Calibri"/>
                <w:color w:val="000000"/>
                <w:sz w:val="22"/>
                <w:szCs w:val="22"/>
              </w:rPr>
              <w:t>771</w:t>
            </w:r>
          </w:p>
        </w:tc>
        <w:tc>
          <w:tcPr>
            <w:tcW w:w="925" w:type="dxa"/>
            <w:tcBorders>
              <w:top w:val="nil"/>
              <w:left w:val="nil"/>
              <w:right w:val="nil"/>
            </w:tcBorders>
            <w:shd w:val="clear" w:color="auto" w:fill="auto"/>
            <w:noWrap/>
            <w:vAlign w:val="bottom"/>
          </w:tcPr>
          <w:p w14:paraId="3185268B" w14:textId="7119363B" w:rsidR="00CB376E" w:rsidRPr="00E315BA" w:rsidRDefault="00CB376E" w:rsidP="00CB376E">
            <w:pPr>
              <w:jc w:val="right"/>
              <w:rPr>
                <w:rFonts w:ascii="Palatino Linotype" w:hAnsi="Palatino Linotype" w:cs="Arial"/>
                <w:sz w:val="22"/>
                <w:szCs w:val="22"/>
              </w:rPr>
            </w:pPr>
            <w:r w:rsidRPr="00E315BA">
              <w:rPr>
                <w:rFonts w:ascii="Palatino Linotype" w:hAnsi="Palatino Linotype" w:cs="Calibri"/>
                <w:color w:val="000000"/>
                <w:sz w:val="22"/>
                <w:szCs w:val="22"/>
              </w:rPr>
              <w:t>782</w:t>
            </w:r>
          </w:p>
        </w:tc>
      </w:tr>
      <w:tr w:rsidR="004F2708" w:rsidRPr="00E315BA" w14:paraId="1DC57E9B" w14:textId="77777777" w:rsidTr="009B55D6">
        <w:trPr>
          <w:trHeight w:val="264"/>
        </w:trPr>
        <w:tc>
          <w:tcPr>
            <w:tcW w:w="4911" w:type="dxa"/>
            <w:tcBorders>
              <w:top w:val="single" w:sz="4" w:space="0" w:color="auto"/>
              <w:left w:val="nil"/>
              <w:right w:val="nil"/>
            </w:tcBorders>
            <w:shd w:val="clear" w:color="auto" w:fill="auto"/>
            <w:noWrap/>
            <w:vAlign w:val="bottom"/>
            <w:hideMark/>
          </w:tcPr>
          <w:p w14:paraId="7D83AF44" w14:textId="2EF281BE" w:rsidR="004F2708" w:rsidRPr="00E315BA" w:rsidRDefault="004F2708" w:rsidP="004F2708">
            <w:pPr>
              <w:rPr>
                <w:rFonts w:ascii="Palatino Linotype" w:hAnsi="Palatino Linotype" w:cs="Arial"/>
                <w:sz w:val="22"/>
                <w:szCs w:val="22"/>
              </w:rPr>
            </w:pPr>
            <w:r w:rsidRPr="00E315BA">
              <w:rPr>
                <w:rFonts w:ascii="Palatino Linotype" w:hAnsi="Palatino Linotype" w:cs="Arial"/>
                <w:color w:val="000000" w:themeColor="text1"/>
                <w:sz w:val="22"/>
                <w:szCs w:val="22"/>
              </w:rPr>
              <w:t>Total social cost of TCI ($, mil.)</w:t>
            </w:r>
          </w:p>
        </w:tc>
        <w:tc>
          <w:tcPr>
            <w:tcW w:w="924" w:type="dxa"/>
            <w:tcBorders>
              <w:top w:val="single" w:sz="4" w:space="0" w:color="auto"/>
              <w:left w:val="nil"/>
              <w:right w:val="nil"/>
            </w:tcBorders>
            <w:shd w:val="clear" w:color="auto" w:fill="auto"/>
            <w:noWrap/>
            <w:vAlign w:val="bottom"/>
          </w:tcPr>
          <w:p w14:paraId="3FE7C089" w14:textId="3CC31DA8" w:rsidR="004F2708" w:rsidRPr="00E315BA" w:rsidRDefault="004F2708" w:rsidP="004F2708">
            <w:pPr>
              <w:jc w:val="right"/>
              <w:rPr>
                <w:rFonts w:ascii="Palatino Linotype" w:hAnsi="Palatino Linotype" w:cs="Arial"/>
                <w:sz w:val="22"/>
                <w:szCs w:val="22"/>
              </w:rPr>
            </w:pPr>
            <w:r w:rsidRPr="00F6572F">
              <w:rPr>
                <w:rFonts w:ascii="Palatino Linotype" w:hAnsi="Palatino Linotype" w:cs="Calibri"/>
                <w:color w:val="000000"/>
                <w:sz w:val="22"/>
                <w:szCs w:val="22"/>
              </w:rPr>
              <w:t>1,083</w:t>
            </w:r>
          </w:p>
        </w:tc>
        <w:tc>
          <w:tcPr>
            <w:tcW w:w="985" w:type="dxa"/>
            <w:tcBorders>
              <w:top w:val="single" w:sz="4" w:space="0" w:color="auto"/>
              <w:left w:val="nil"/>
              <w:right w:val="nil"/>
            </w:tcBorders>
            <w:vAlign w:val="bottom"/>
          </w:tcPr>
          <w:p w14:paraId="38D212EC" w14:textId="003B3E2C" w:rsidR="004F2708" w:rsidRPr="00E315BA" w:rsidRDefault="004F2708" w:rsidP="004F2708">
            <w:pPr>
              <w:jc w:val="right"/>
              <w:rPr>
                <w:rFonts w:ascii="Palatino Linotype" w:hAnsi="Palatino Linotype" w:cs="Arial"/>
                <w:sz w:val="22"/>
                <w:szCs w:val="22"/>
              </w:rPr>
            </w:pPr>
            <w:r w:rsidRPr="00F6572F">
              <w:rPr>
                <w:rFonts w:ascii="Palatino Linotype" w:hAnsi="Palatino Linotype" w:cs="Calibri"/>
                <w:color w:val="000000"/>
                <w:sz w:val="22"/>
                <w:szCs w:val="22"/>
              </w:rPr>
              <w:t>1,068</w:t>
            </w:r>
          </w:p>
        </w:tc>
        <w:tc>
          <w:tcPr>
            <w:tcW w:w="925" w:type="dxa"/>
            <w:tcBorders>
              <w:top w:val="single" w:sz="4" w:space="0" w:color="auto"/>
              <w:left w:val="nil"/>
              <w:right w:val="nil"/>
            </w:tcBorders>
            <w:shd w:val="clear" w:color="auto" w:fill="auto"/>
            <w:noWrap/>
            <w:vAlign w:val="bottom"/>
          </w:tcPr>
          <w:p w14:paraId="6E2CC8B0" w14:textId="7BA92C3E" w:rsidR="004F2708" w:rsidRPr="00E315BA" w:rsidRDefault="004F2708" w:rsidP="004F2708">
            <w:pPr>
              <w:jc w:val="right"/>
              <w:rPr>
                <w:rFonts w:ascii="Palatino Linotype" w:hAnsi="Palatino Linotype" w:cs="Arial"/>
                <w:sz w:val="22"/>
                <w:szCs w:val="22"/>
              </w:rPr>
            </w:pPr>
            <w:r w:rsidRPr="00F6572F">
              <w:rPr>
                <w:rFonts w:ascii="Palatino Linotype" w:hAnsi="Palatino Linotype" w:cs="Calibri"/>
                <w:color w:val="000000"/>
                <w:sz w:val="22"/>
                <w:szCs w:val="22"/>
              </w:rPr>
              <w:t>1,052</w:t>
            </w:r>
          </w:p>
        </w:tc>
        <w:tc>
          <w:tcPr>
            <w:tcW w:w="925" w:type="dxa"/>
            <w:tcBorders>
              <w:top w:val="single" w:sz="4" w:space="0" w:color="auto"/>
              <w:left w:val="nil"/>
              <w:right w:val="nil"/>
            </w:tcBorders>
            <w:shd w:val="clear" w:color="auto" w:fill="auto"/>
            <w:noWrap/>
            <w:vAlign w:val="bottom"/>
          </w:tcPr>
          <w:p w14:paraId="471C09CA" w14:textId="14368C2E" w:rsidR="004F2708" w:rsidRPr="00E315BA" w:rsidRDefault="004F2708" w:rsidP="004F2708">
            <w:pPr>
              <w:jc w:val="right"/>
              <w:rPr>
                <w:rFonts w:ascii="Palatino Linotype" w:hAnsi="Palatino Linotype" w:cs="Arial"/>
                <w:sz w:val="22"/>
                <w:szCs w:val="22"/>
              </w:rPr>
            </w:pPr>
            <w:r w:rsidRPr="00F6572F">
              <w:rPr>
                <w:rFonts w:ascii="Palatino Linotype" w:hAnsi="Palatino Linotype" w:cs="Calibri"/>
                <w:color w:val="000000"/>
                <w:sz w:val="22"/>
                <w:szCs w:val="22"/>
              </w:rPr>
              <w:t>1,035</w:t>
            </w:r>
          </w:p>
        </w:tc>
        <w:tc>
          <w:tcPr>
            <w:tcW w:w="925" w:type="dxa"/>
            <w:tcBorders>
              <w:top w:val="single" w:sz="4" w:space="0" w:color="auto"/>
              <w:left w:val="nil"/>
              <w:right w:val="nil"/>
            </w:tcBorders>
            <w:shd w:val="clear" w:color="auto" w:fill="auto"/>
            <w:noWrap/>
            <w:vAlign w:val="bottom"/>
          </w:tcPr>
          <w:p w14:paraId="19B05BFB" w14:textId="7381B521" w:rsidR="004F2708" w:rsidRPr="00E315BA" w:rsidRDefault="004F2708" w:rsidP="004F2708">
            <w:pPr>
              <w:jc w:val="right"/>
              <w:rPr>
                <w:rFonts w:ascii="Palatino Linotype" w:hAnsi="Palatino Linotype" w:cs="Arial"/>
                <w:sz w:val="22"/>
                <w:szCs w:val="22"/>
              </w:rPr>
            </w:pPr>
            <w:r w:rsidRPr="00F6572F">
              <w:rPr>
                <w:rFonts w:ascii="Palatino Linotype" w:hAnsi="Palatino Linotype" w:cs="Calibri"/>
                <w:color w:val="000000"/>
                <w:sz w:val="22"/>
                <w:szCs w:val="22"/>
              </w:rPr>
              <w:t>1,017</w:t>
            </w:r>
          </w:p>
        </w:tc>
      </w:tr>
      <w:tr w:rsidR="004F2708" w:rsidRPr="00E315BA" w14:paraId="50A8A4BA" w14:textId="77777777" w:rsidTr="00B52D2F">
        <w:trPr>
          <w:trHeight w:val="264"/>
        </w:trPr>
        <w:tc>
          <w:tcPr>
            <w:tcW w:w="4911" w:type="dxa"/>
            <w:tcBorders>
              <w:left w:val="nil"/>
              <w:right w:val="nil"/>
            </w:tcBorders>
            <w:shd w:val="clear" w:color="auto" w:fill="auto"/>
            <w:noWrap/>
            <w:vAlign w:val="bottom"/>
          </w:tcPr>
          <w:p w14:paraId="3C96D2A8" w14:textId="756AE008" w:rsidR="004F2708" w:rsidRPr="00E315BA" w:rsidRDefault="004F2708" w:rsidP="004F2708">
            <w:pPr>
              <w:rPr>
                <w:rFonts w:ascii="Palatino Linotype" w:hAnsi="Palatino Linotype" w:cs="Arial"/>
                <w:sz w:val="22"/>
                <w:szCs w:val="22"/>
              </w:rPr>
            </w:pPr>
            <w:r w:rsidRPr="00E315BA">
              <w:rPr>
                <w:rFonts w:ascii="Palatino Linotype" w:hAnsi="Palatino Linotype" w:cs="Arial"/>
                <w:color w:val="000000" w:themeColor="text1"/>
                <w:sz w:val="22"/>
                <w:szCs w:val="22"/>
              </w:rPr>
              <w:t>Total social benefits of TCI ($, mil.)</w:t>
            </w:r>
          </w:p>
        </w:tc>
        <w:tc>
          <w:tcPr>
            <w:tcW w:w="924" w:type="dxa"/>
            <w:tcBorders>
              <w:left w:val="nil"/>
              <w:right w:val="nil"/>
            </w:tcBorders>
            <w:shd w:val="clear" w:color="auto" w:fill="auto"/>
            <w:noWrap/>
            <w:vAlign w:val="bottom"/>
          </w:tcPr>
          <w:p w14:paraId="011C426A" w14:textId="19508CBA" w:rsidR="004F2708" w:rsidRPr="00E315BA" w:rsidRDefault="004F2708" w:rsidP="004F2708">
            <w:pPr>
              <w:jc w:val="right"/>
              <w:rPr>
                <w:rFonts w:ascii="Palatino Linotype" w:hAnsi="Palatino Linotype" w:cs="Arial"/>
                <w:sz w:val="22"/>
                <w:szCs w:val="22"/>
              </w:rPr>
            </w:pPr>
            <w:r w:rsidRPr="00F6572F">
              <w:rPr>
                <w:rFonts w:ascii="Palatino Linotype" w:hAnsi="Palatino Linotype" w:cs="Calibri"/>
                <w:color w:val="000000" w:themeColor="text1"/>
                <w:sz w:val="22"/>
                <w:szCs w:val="22"/>
              </w:rPr>
              <w:t>3</w:t>
            </w:r>
            <w:r>
              <w:rPr>
                <w:rFonts w:ascii="Palatino Linotype" w:hAnsi="Palatino Linotype" w:cs="Calibri"/>
                <w:color w:val="000000" w:themeColor="text1"/>
                <w:sz w:val="22"/>
                <w:szCs w:val="22"/>
              </w:rPr>
              <w:t>2</w:t>
            </w:r>
          </w:p>
        </w:tc>
        <w:tc>
          <w:tcPr>
            <w:tcW w:w="985" w:type="dxa"/>
            <w:tcBorders>
              <w:left w:val="nil"/>
              <w:right w:val="nil"/>
            </w:tcBorders>
            <w:vAlign w:val="bottom"/>
          </w:tcPr>
          <w:p w14:paraId="342C85A5" w14:textId="497D1970" w:rsidR="004F2708" w:rsidRPr="00E315BA" w:rsidRDefault="004F2708" w:rsidP="004F2708">
            <w:pPr>
              <w:jc w:val="right"/>
              <w:rPr>
                <w:rFonts w:ascii="Palatino Linotype" w:hAnsi="Palatino Linotype" w:cs="Arial"/>
                <w:sz w:val="22"/>
                <w:szCs w:val="22"/>
              </w:rPr>
            </w:pPr>
            <w:r w:rsidRPr="00F6572F">
              <w:rPr>
                <w:rFonts w:ascii="Palatino Linotype" w:hAnsi="Palatino Linotype" w:cs="Calibri"/>
                <w:color w:val="000000" w:themeColor="text1"/>
                <w:sz w:val="22"/>
                <w:szCs w:val="22"/>
              </w:rPr>
              <w:t>3</w:t>
            </w:r>
            <w:r>
              <w:rPr>
                <w:rFonts w:ascii="Palatino Linotype" w:hAnsi="Palatino Linotype" w:cs="Calibri"/>
                <w:color w:val="000000" w:themeColor="text1"/>
                <w:sz w:val="22"/>
                <w:szCs w:val="22"/>
              </w:rPr>
              <w:t>2</w:t>
            </w:r>
          </w:p>
        </w:tc>
        <w:tc>
          <w:tcPr>
            <w:tcW w:w="925" w:type="dxa"/>
            <w:tcBorders>
              <w:left w:val="nil"/>
              <w:right w:val="nil"/>
            </w:tcBorders>
            <w:shd w:val="clear" w:color="auto" w:fill="auto"/>
            <w:noWrap/>
            <w:vAlign w:val="bottom"/>
          </w:tcPr>
          <w:p w14:paraId="2B0FDA12" w14:textId="107369A8" w:rsidR="004F2708" w:rsidRPr="00E315BA" w:rsidRDefault="004F2708" w:rsidP="004F2708">
            <w:pPr>
              <w:jc w:val="right"/>
              <w:rPr>
                <w:rFonts w:ascii="Palatino Linotype" w:hAnsi="Palatino Linotype" w:cs="Arial"/>
                <w:sz w:val="22"/>
                <w:szCs w:val="22"/>
              </w:rPr>
            </w:pPr>
            <w:r w:rsidRPr="00F6572F">
              <w:rPr>
                <w:rFonts w:ascii="Palatino Linotype" w:hAnsi="Palatino Linotype" w:cs="Calibri"/>
                <w:color w:val="000000" w:themeColor="text1"/>
                <w:sz w:val="22"/>
                <w:szCs w:val="22"/>
              </w:rPr>
              <w:t>3</w:t>
            </w:r>
            <w:r>
              <w:rPr>
                <w:rFonts w:ascii="Palatino Linotype" w:hAnsi="Palatino Linotype" w:cs="Calibri"/>
                <w:color w:val="000000" w:themeColor="text1"/>
                <w:sz w:val="22"/>
                <w:szCs w:val="22"/>
              </w:rPr>
              <w:t>3</w:t>
            </w:r>
          </w:p>
        </w:tc>
        <w:tc>
          <w:tcPr>
            <w:tcW w:w="925" w:type="dxa"/>
            <w:tcBorders>
              <w:left w:val="nil"/>
              <w:right w:val="nil"/>
            </w:tcBorders>
            <w:shd w:val="clear" w:color="auto" w:fill="auto"/>
            <w:noWrap/>
            <w:vAlign w:val="bottom"/>
          </w:tcPr>
          <w:p w14:paraId="1A2D9C53" w14:textId="10B79633" w:rsidR="004F2708" w:rsidRPr="00E315BA" w:rsidRDefault="004F2708" w:rsidP="004F2708">
            <w:pPr>
              <w:jc w:val="right"/>
              <w:rPr>
                <w:rFonts w:ascii="Palatino Linotype" w:hAnsi="Palatino Linotype" w:cs="Arial"/>
                <w:sz w:val="22"/>
                <w:szCs w:val="22"/>
              </w:rPr>
            </w:pPr>
            <w:r w:rsidRPr="00F6572F">
              <w:rPr>
                <w:rFonts w:ascii="Palatino Linotype" w:hAnsi="Palatino Linotype" w:cs="Calibri"/>
                <w:color w:val="000000" w:themeColor="text1"/>
                <w:sz w:val="22"/>
                <w:szCs w:val="22"/>
              </w:rPr>
              <w:t>3</w:t>
            </w:r>
            <w:r>
              <w:rPr>
                <w:rFonts w:ascii="Palatino Linotype" w:hAnsi="Palatino Linotype" w:cs="Calibri"/>
                <w:color w:val="000000" w:themeColor="text1"/>
                <w:sz w:val="22"/>
                <w:szCs w:val="22"/>
              </w:rPr>
              <w:t>3</w:t>
            </w:r>
          </w:p>
        </w:tc>
        <w:tc>
          <w:tcPr>
            <w:tcW w:w="925" w:type="dxa"/>
            <w:tcBorders>
              <w:left w:val="nil"/>
              <w:right w:val="nil"/>
            </w:tcBorders>
            <w:shd w:val="clear" w:color="auto" w:fill="auto"/>
            <w:noWrap/>
            <w:vAlign w:val="bottom"/>
          </w:tcPr>
          <w:p w14:paraId="62D2EBB0" w14:textId="0A721564" w:rsidR="004F2708" w:rsidRPr="00E315BA" w:rsidRDefault="004F2708" w:rsidP="004F2708">
            <w:pPr>
              <w:jc w:val="right"/>
              <w:rPr>
                <w:rFonts w:ascii="Palatino Linotype" w:hAnsi="Palatino Linotype" w:cs="Arial"/>
                <w:sz w:val="22"/>
                <w:szCs w:val="22"/>
              </w:rPr>
            </w:pPr>
            <w:r w:rsidRPr="00F6572F">
              <w:rPr>
                <w:rFonts w:ascii="Palatino Linotype" w:hAnsi="Palatino Linotype" w:cs="Calibri"/>
                <w:color w:val="000000" w:themeColor="text1"/>
                <w:sz w:val="22"/>
                <w:szCs w:val="22"/>
              </w:rPr>
              <w:t>3</w:t>
            </w:r>
            <w:r>
              <w:rPr>
                <w:rFonts w:ascii="Palatino Linotype" w:hAnsi="Palatino Linotype" w:cs="Calibri"/>
                <w:color w:val="000000" w:themeColor="text1"/>
                <w:sz w:val="22"/>
                <w:szCs w:val="22"/>
              </w:rPr>
              <w:t>4</w:t>
            </w:r>
          </w:p>
        </w:tc>
      </w:tr>
      <w:tr w:rsidR="004F2708" w:rsidRPr="00E315BA" w14:paraId="09D9936A" w14:textId="77777777" w:rsidTr="009B55D6">
        <w:trPr>
          <w:trHeight w:val="264"/>
        </w:trPr>
        <w:tc>
          <w:tcPr>
            <w:tcW w:w="4911" w:type="dxa"/>
            <w:tcBorders>
              <w:top w:val="nil"/>
              <w:left w:val="nil"/>
              <w:bottom w:val="single" w:sz="4" w:space="0" w:color="auto"/>
              <w:right w:val="nil"/>
            </w:tcBorders>
            <w:shd w:val="clear" w:color="auto" w:fill="auto"/>
            <w:noWrap/>
            <w:vAlign w:val="bottom"/>
          </w:tcPr>
          <w:p w14:paraId="70C4575F" w14:textId="2482909C" w:rsidR="004F2708" w:rsidRPr="00E315BA" w:rsidRDefault="004F2708" w:rsidP="004F2708">
            <w:pPr>
              <w:rPr>
                <w:rFonts w:ascii="Palatino Linotype" w:hAnsi="Palatino Linotype" w:cs="Arial"/>
                <w:sz w:val="22"/>
                <w:szCs w:val="22"/>
              </w:rPr>
            </w:pPr>
            <w:r w:rsidRPr="00E315BA">
              <w:rPr>
                <w:rFonts w:ascii="Palatino Linotype" w:hAnsi="Palatino Linotype" w:cs="Arial"/>
                <w:color w:val="000000" w:themeColor="text1"/>
                <w:sz w:val="22"/>
                <w:szCs w:val="22"/>
              </w:rPr>
              <w:t>Net benefits (-cost) of TCI ($, mil.)</w:t>
            </w:r>
          </w:p>
        </w:tc>
        <w:tc>
          <w:tcPr>
            <w:tcW w:w="924" w:type="dxa"/>
            <w:tcBorders>
              <w:top w:val="nil"/>
              <w:left w:val="nil"/>
              <w:bottom w:val="single" w:sz="4" w:space="0" w:color="auto"/>
              <w:right w:val="nil"/>
            </w:tcBorders>
            <w:shd w:val="clear" w:color="auto" w:fill="auto"/>
            <w:noWrap/>
            <w:vAlign w:val="bottom"/>
          </w:tcPr>
          <w:p w14:paraId="3758D59E" w14:textId="2AE2A281" w:rsidR="004F2708" w:rsidRPr="00E315BA" w:rsidRDefault="004F2708" w:rsidP="004F2708">
            <w:pPr>
              <w:jc w:val="right"/>
              <w:rPr>
                <w:rFonts w:ascii="Palatino Linotype" w:hAnsi="Palatino Linotype" w:cs="Arial"/>
                <w:sz w:val="22"/>
                <w:szCs w:val="22"/>
              </w:rPr>
            </w:pPr>
            <w:r w:rsidRPr="00F6572F">
              <w:rPr>
                <w:rFonts w:ascii="Palatino Linotype" w:hAnsi="Palatino Linotype" w:cs="Calibri"/>
                <w:color w:val="000000"/>
                <w:sz w:val="22"/>
                <w:szCs w:val="22"/>
              </w:rPr>
              <w:t>-1,0</w:t>
            </w:r>
            <w:r>
              <w:rPr>
                <w:rFonts w:ascii="Palatino Linotype" w:hAnsi="Palatino Linotype" w:cs="Calibri"/>
                <w:color w:val="000000"/>
                <w:sz w:val="22"/>
                <w:szCs w:val="22"/>
              </w:rPr>
              <w:t>51</w:t>
            </w:r>
          </w:p>
        </w:tc>
        <w:tc>
          <w:tcPr>
            <w:tcW w:w="985" w:type="dxa"/>
            <w:tcBorders>
              <w:top w:val="nil"/>
              <w:left w:val="nil"/>
              <w:bottom w:val="single" w:sz="4" w:space="0" w:color="auto"/>
              <w:right w:val="nil"/>
            </w:tcBorders>
            <w:vAlign w:val="bottom"/>
          </w:tcPr>
          <w:p w14:paraId="6607DCD9" w14:textId="18996EAB" w:rsidR="004F2708" w:rsidRPr="00E315BA" w:rsidRDefault="004F2708" w:rsidP="004F2708">
            <w:pPr>
              <w:jc w:val="right"/>
              <w:rPr>
                <w:rFonts w:ascii="Palatino Linotype" w:hAnsi="Palatino Linotype" w:cs="Arial"/>
                <w:sz w:val="22"/>
                <w:szCs w:val="22"/>
              </w:rPr>
            </w:pPr>
            <w:r w:rsidRPr="00F6572F">
              <w:rPr>
                <w:rFonts w:ascii="Palatino Linotype" w:hAnsi="Palatino Linotype" w:cs="Calibri"/>
                <w:color w:val="000000"/>
                <w:sz w:val="22"/>
                <w:szCs w:val="22"/>
              </w:rPr>
              <w:t>-1,03</w:t>
            </w:r>
            <w:r>
              <w:rPr>
                <w:rFonts w:ascii="Palatino Linotype" w:hAnsi="Palatino Linotype" w:cs="Calibri"/>
                <w:color w:val="000000"/>
                <w:sz w:val="22"/>
                <w:szCs w:val="22"/>
              </w:rPr>
              <w:t>6</w:t>
            </w:r>
          </w:p>
        </w:tc>
        <w:tc>
          <w:tcPr>
            <w:tcW w:w="925" w:type="dxa"/>
            <w:tcBorders>
              <w:top w:val="nil"/>
              <w:left w:val="nil"/>
              <w:bottom w:val="single" w:sz="4" w:space="0" w:color="auto"/>
              <w:right w:val="nil"/>
            </w:tcBorders>
            <w:shd w:val="clear" w:color="auto" w:fill="auto"/>
            <w:noWrap/>
            <w:vAlign w:val="bottom"/>
          </w:tcPr>
          <w:p w14:paraId="56B0517D" w14:textId="52FDAE02" w:rsidR="004F2708" w:rsidRPr="00E315BA" w:rsidRDefault="004F2708" w:rsidP="004F2708">
            <w:pPr>
              <w:jc w:val="right"/>
              <w:rPr>
                <w:rFonts w:ascii="Palatino Linotype" w:hAnsi="Palatino Linotype" w:cs="Arial"/>
                <w:sz w:val="22"/>
                <w:szCs w:val="22"/>
              </w:rPr>
            </w:pPr>
            <w:r w:rsidRPr="00F6572F">
              <w:rPr>
                <w:rFonts w:ascii="Palatino Linotype" w:hAnsi="Palatino Linotype" w:cs="Calibri"/>
                <w:color w:val="000000"/>
                <w:sz w:val="22"/>
                <w:szCs w:val="22"/>
              </w:rPr>
              <w:t>-1,01</w:t>
            </w:r>
            <w:r>
              <w:rPr>
                <w:rFonts w:ascii="Palatino Linotype" w:hAnsi="Palatino Linotype" w:cs="Calibri"/>
                <w:color w:val="000000"/>
                <w:sz w:val="22"/>
                <w:szCs w:val="22"/>
              </w:rPr>
              <w:t>9</w:t>
            </w:r>
          </w:p>
        </w:tc>
        <w:tc>
          <w:tcPr>
            <w:tcW w:w="925" w:type="dxa"/>
            <w:tcBorders>
              <w:top w:val="nil"/>
              <w:left w:val="nil"/>
              <w:bottom w:val="single" w:sz="4" w:space="0" w:color="auto"/>
              <w:right w:val="nil"/>
            </w:tcBorders>
            <w:shd w:val="clear" w:color="auto" w:fill="auto"/>
            <w:noWrap/>
            <w:vAlign w:val="bottom"/>
          </w:tcPr>
          <w:p w14:paraId="45330E63" w14:textId="2A221677" w:rsidR="004F2708" w:rsidRPr="00E315BA" w:rsidRDefault="004F2708" w:rsidP="004F2708">
            <w:pPr>
              <w:jc w:val="right"/>
              <w:rPr>
                <w:rFonts w:ascii="Palatino Linotype" w:hAnsi="Palatino Linotype" w:cs="Arial"/>
                <w:sz w:val="22"/>
                <w:szCs w:val="22"/>
              </w:rPr>
            </w:pPr>
            <w:r w:rsidRPr="00F6572F">
              <w:rPr>
                <w:rFonts w:ascii="Palatino Linotype" w:hAnsi="Palatino Linotype" w:cs="Calibri"/>
                <w:color w:val="000000"/>
                <w:sz w:val="22"/>
                <w:szCs w:val="22"/>
              </w:rPr>
              <w:t>-</w:t>
            </w:r>
            <w:r>
              <w:rPr>
                <w:rFonts w:ascii="Palatino Linotype" w:hAnsi="Palatino Linotype" w:cs="Calibri"/>
                <w:color w:val="000000"/>
                <w:sz w:val="22"/>
                <w:szCs w:val="22"/>
              </w:rPr>
              <w:t>1,002</w:t>
            </w:r>
          </w:p>
        </w:tc>
        <w:tc>
          <w:tcPr>
            <w:tcW w:w="925" w:type="dxa"/>
            <w:tcBorders>
              <w:top w:val="nil"/>
              <w:left w:val="nil"/>
              <w:bottom w:val="single" w:sz="4" w:space="0" w:color="auto"/>
              <w:right w:val="nil"/>
            </w:tcBorders>
            <w:shd w:val="clear" w:color="auto" w:fill="auto"/>
            <w:noWrap/>
            <w:vAlign w:val="bottom"/>
          </w:tcPr>
          <w:p w14:paraId="52BBCDF8" w14:textId="2B4A678F" w:rsidR="004F2708" w:rsidRPr="00E315BA" w:rsidRDefault="004F2708" w:rsidP="004F2708">
            <w:pPr>
              <w:jc w:val="right"/>
              <w:rPr>
                <w:rFonts w:ascii="Palatino Linotype" w:hAnsi="Palatino Linotype" w:cs="Arial"/>
                <w:sz w:val="22"/>
                <w:szCs w:val="22"/>
              </w:rPr>
            </w:pPr>
            <w:r w:rsidRPr="00F6572F">
              <w:rPr>
                <w:rFonts w:ascii="Palatino Linotype" w:hAnsi="Palatino Linotype" w:cs="Calibri"/>
                <w:color w:val="000000"/>
                <w:sz w:val="22"/>
                <w:szCs w:val="22"/>
              </w:rPr>
              <w:t>-9</w:t>
            </w:r>
            <w:r>
              <w:rPr>
                <w:rFonts w:ascii="Palatino Linotype" w:hAnsi="Palatino Linotype" w:cs="Calibri"/>
                <w:color w:val="000000"/>
                <w:sz w:val="22"/>
                <w:szCs w:val="22"/>
              </w:rPr>
              <w:t>83</w:t>
            </w:r>
          </w:p>
        </w:tc>
      </w:tr>
    </w:tbl>
    <w:p w14:paraId="1285D530" w14:textId="77777777" w:rsidR="00CC760D" w:rsidRPr="00E315BA" w:rsidRDefault="00CC760D" w:rsidP="007B3DA2">
      <w:pPr>
        <w:spacing w:line="360" w:lineRule="auto"/>
        <w:jc w:val="both"/>
        <w:rPr>
          <w:rFonts w:ascii="Palatino Linotype" w:hAnsi="Palatino Linotype"/>
          <w:noProof/>
          <w:szCs w:val="24"/>
          <w:highlight w:val="yellow"/>
        </w:rPr>
      </w:pPr>
    </w:p>
    <w:p w14:paraId="683FE86F" w14:textId="526AEDA3" w:rsidR="00964E6D" w:rsidRPr="00A949CB" w:rsidRDefault="00A3489F" w:rsidP="00CC760D">
      <w:pPr>
        <w:spacing w:line="360" w:lineRule="auto"/>
        <w:ind w:firstLine="720"/>
        <w:jc w:val="both"/>
        <w:rPr>
          <w:rFonts w:ascii="Palatino Linotype" w:hAnsi="Palatino Linotype"/>
          <w:noProof/>
          <w:szCs w:val="24"/>
        </w:rPr>
      </w:pPr>
      <w:r w:rsidRPr="00B52D2F">
        <w:rPr>
          <w:rFonts w:ascii="Palatino Linotype" w:hAnsi="Palatino Linotype"/>
          <w:noProof/>
          <w:szCs w:val="24"/>
        </w:rPr>
        <w:t xml:space="preserve">The total loss of output (measured in real GDP) due to the </w:t>
      </w:r>
      <w:r w:rsidR="00A949CB" w:rsidRPr="00B52D2F">
        <w:rPr>
          <w:rFonts w:ascii="Palatino Linotype" w:hAnsi="Palatino Linotype"/>
          <w:noProof/>
          <w:szCs w:val="24"/>
        </w:rPr>
        <w:t xml:space="preserve">emissions cap </w:t>
      </w:r>
      <w:r w:rsidRPr="00B52D2F">
        <w:rPr>
          <w:rFonts w:ascii="Palatino Linotype" w:hAnsi="Palatino Linotype"/>
          <w:noProof/>
          <w:szCs w:val="24"/>
        </w:rPr>
        <w:t>would be $</w:t>
      </w:r>
      <w:r w:rsidR="00B52D2F" w:rsidRPr="00B52D2F">
        <w:rPr>
          <w:rFonts w:ascii="Palatino Linotype" w:hAnsi="Palatino Linotype"/>
          <w:noProof/>
          <w:szCs w:val="24"/>
        </w:rPr>
        <w:t>1,083</w:t>
      </w:r>
      <w:r w:rsidRPr="00B52D2F">
        <w:rPr>
          <w:rFonts w:ascii="Palatino Linotype" w:hAnsi="Palatino Linotype"/>
          <w:noProof/>
          <w:szCs w:val="24"/>
        </w:rPr>
        <w:t xml:space="preserve"> million in 2022 and $</w:t>
      </w:r>
      <w:r w:rsidR="00B52D2F" w:rsidRPr="00B52D2F">
        <w:rPr>
          <w:rFonts w:ascii="Palatino Linotype" w:hAnsi="Palatino Linotype"/>
          <w:noProof/>
          <w:szCs w:val="24"/>
        </w:rPr>
        <w:t>1,017</w:t>
      </w:r>
      <w:r w:rsidRPr="00B52D2F">
        <w:rPr>
          <w:rFonts w:ascii="Palatino Linotype" w:hAnsi="Palatino Linotype"/>
          <w:noProof/>
          <w:szCs w:val="24"/>
        </w:rPr>
        <w:t xml:space="preserve"> million in 2026.  This loss represen</w:t>
      </w:r>
      <w:r w:rsidR="006C2AE2" w:rsidRPr="00B52D2F">
        <w:rPr>
          <w:rFonts w:ascii="Palatino Linotype" w:hAnsi="Palatino Linotype"/>
          <w:noProof/>
          <w:szCs w:val="24"/>
        </w:rPr>
        <w:t>ts</w:t>
      </w:r>
      <w:r w:rsidRPr="00B52D2F">
        <w:rPr>
          <w:rFonts w:ascii="Palatino Linotype" w:hAnsi="Palatino Linotype"/>
          <w:noProof/>
          <w:szCs w:val="24"/>
        </w:rPr>
        <w:t xml:space="preserve"> the total soc</w:t>
      </w:r>
      <w:r w:rsidR="00DE2915" w:rsidRPr="00B52D2F">
        <w:rPr>
          <w:rFonts w:ascii="Palatino Linotype" w:hAnsi="Palatino Linotype"/>
          <w:noProof/>
          <w:szCs w:val="24"/>
        </w:rPr>
        <w:t>i</w:t>
      </w:r>
      <w:r w:rsidRPr="00B52D2F">
        <w:rPr>
          <w:rFonts w:ascii="Palatino Linotype" w:hAnsi="Palatino Linotype"/>
          <w:noProof/>
          <w:szCs w:val="24"/>
        </w:rPr>
        <w:t xml:space="preserve">al cost of the </w:t>
      </w:r>
      <w:r w:rsidR="00A949CB" w:rsidRPr="00B52D2F">
        <w:rPr>
          <w:rFonts w:ascii="Palatino Linotype" w:hAnsi="Palatino Linotype"/>
          <w:noProof/>
          <w:szCs w:val="24"/>
        </w:rPr>
        <w:t>emissions cap imposed on</w:t>
      </w:r>
      <w:r w:rsidRPr="00B52D2F">
        <w:rPr>
          <w:rFonts w:ascii="Palatino Linotype" w:hAnsi="Palatino Linotype"/>
          <w:noProof/>
          <w:szCs w:val="24"/>
        </w:rPr>
        <w:t xml:space="preserve"> </w:t>
      </w:r>
      <w:r w:rsidR="00AF38EC" w:rsidRPr="00B52D2F">
        <w:rPr>
          <w:rFonts w:ascii="Palatino Linotype" w:hAnsi="Palatino Linotype"/>
          <w:noProof/>
          <w:szCs w:val="24"/>
        </w:rPr>
        <w:t>Virginia</w:t>
      </w:r>
      <w:r w:rsidRPr="00B52D2F">
        <w:rPr>
          <w:rFonts w:ascii="Palatino Linotype" w:hAnsi="Palatino Linotype"/>
          <w:noProof/>
          <w:szCs w:val="24"/>
        </w:rPr>
        <w:t>.</w:t>
      </w:r>
      <w:r w:rsidR="00F11356" w:rsidRPr="00B52D2F">
        <w:rPr>
          <w:rFonts w:ascii="Palatino Linotype" w:hAnsi="Palatino Linotype"/>
          <w:noProof/>
          <w:szCs w:val="24"/>
        </w:rPr>
        <w:t xml:space="preserve"> </w:t>
      </w:r>
      <w:r w:rsidR="00371D42" w:rsidRPr="00B52D2F">
        <w:rPr>
          <w:rFonts w:ascii="Palatino Linotype" w:hAnsi="Palatino Linotype"/>
          <w:noProof/>
          <w:szCs w:val="24"/>
        </w:rPr>
        <w:t xml:space="preserve">When </w:t>
      </w:r>
      <w:r w:rsidR="003E7629" w:rsidRPr="00B52D2F">
        <w:rPr>
          <w:rFonts w:ascii="Palatino Linotype" w:hAnsi="Palatino Linotype"/>
          <w:noProof/>
          <w:szCs w:val="24"/>
        </w:rPr>
        <w:t xml:space="preserve">subtracting </w:t>
      </w:r>
      <w:r w:rsidR="00371D42" w:rsidRPr="00B52D2F">
        <w:rPr>
          <w:rFonts w:ascii="Palatino Linotype" w:hAnsi="Palatino Linotype"/>
          <w:noProof/>
          <w:szCs w:val="24"/>
        </w:rPr>
        <w:t>the benefits of GHG reduction, t</w:t>
      </w:r>
      <w:r w:rsidR="006D0920" w:rsidRPr="00B52D2F">
        <w:rPr>
          <w:rFonts w:ascii="Palatino Linotype" w:hAnsi="Palatino Linotype"/>
          <w:noProof/>
          <w:szCs w:val="24"/>
        </w:rPr>
        <w:t>he net cost of the emissions cap would be $</w:t>
      </w:r>
      <w:r w:rsidR="00B52D2F" w:rsidRPr="00B52D2F">
        <w:rPr>
          <w:rFonts w:ascii="Palatino Linotype" w:hAnsi="Palatino Linotype"/>
          <w:noProof/>
          <w:szCs w:val="24"/>
        </w:rPr>
        <w:t>1,0</w:t>
      </w:r>
      <w:r w:rsidR="00CA6BCA">
        <w:rPr>
          <w:rFonts w:ascii="Palatino Linotype" w:hAnsi="Palatino Linotype"/>
          <w:noProof/>
          <w:szCs w:val="24"/>
        </w:rPr>
        <w:t>51</w:t>
      </w:r>
      <w:r w:rsidR="00C22AFE" w:rsidRPr="00B52D2F">
        <w:rPr>
          <w:rFonts w:ascii="Palatino Linotype" w:hAnsi="Palatino Linotype"/>
          <w:noProof/>
          <w:szCs w:val="24"/>
        </w:rPr>
        <w:t xml:space="preserve"> </w:t>
      </w:r>
      <w:r w:rsidR="006D0920" w:rsidRPr="00B52D2F">
        <w:rPr>
          <w:rFonts w:ascii="Palatino Linotype" w:hAnsi="Palatino Linotype"/>
          <w:noProof/>
          <w:szCs w:val="24"/>
        </w:rPr>
        <w:t>million in 2022 and fall to $</w:t>
      </w:r>
      <w:r w:rsidR="00B52D2F" w:rsidRPr="00B52D2F">
        <w:rPr>
          <w:rFonts w:ascii="Palatino Linotype" w:hAnsi="Palatino Linotype"/>
          <w:noProof/>
          <w:szCs w:val="24"/>
        </w:rPr>
        <w:t>9</w:t>
      </w:r>
      <w:r w:rsidR="004571F6">
        <w:rPr>
          <w:rFonts w:ascii="Palatino Linotype" w:hAnsi="Palatino Linotype"/>
          <w:noProof/>
          <w:szCs w:val="24"/>
        </w:rPr>
        <w:t>83</w:t>
      </w:r>
      <w:r w:rsidR="00FB4B3F" w:rsidRPr="00B52D2F">
        <w:rPr>
          <w:rFonts w:ascii="Palatino Linotype" w:hAnsi="Palatino Linotype"/>
          <w:noProof/>
          <w:szCs w:val="24"/>
        </w:rPr>
        <w:t xml:space="preserve"> </w:t>
      </w:r>
      <w:r w:rsidR="006D0920" w:rsidRPr="00B52D2F">
        <w:rPr>
          <w:rFonts w:ascii="Palatino Linotype" w:hAnsi="Palatino Linotype"/>
          <w:noProof/>
          <w:szCs w:val="24"/>
        </w:rPr>
        <w:t>million by 2026.</w:t>
      </w:r>
      <w:r w:rsidR="006D0920">
        <w:rPr>
          <w:rFonts w:ascii="Palatino Linotype" w:hAnsi="Palatino Linotype"/>
          <w:noProof/>
          <w:szCs w:val="24"/>
        </w:rPr>
        <w:t xml:space="preserve"> </w:t>
      </w:r>
    </w:p>
    <w:p w14:paraId="221E6448" w14:textId="0B040A62" w:rsidR="00EC29BD" w:rsidRPr="00EC29BD" w:rsidRDefault="00A3489F" w:rsidP="00A84F6B">
      <w:pPr>
        <w:spacing w:line="360" w:lineRule="auto"/>
        <w:ind w:firstLine="720"/>
        <w:jc w:val="both"/>
        <w:rPr>
          <w:rFonts w:ascii="Palatino Linotype" w:hAnsi="Palatino Linotype"/>
        </w:rPr>
      </w:pPr>
      <w:r w:rsidRPr="00B97BE5">
        <w:rPr>
          <w:rFonts w:ascii="Palatino Linotype" w:hAnsi="Palatino Linotype"/>
        </w:rPr>
        <w:t xml:space="preserve">The costs of </w:t>
      </w:r>
      <w:r w:rsidR="00ED2D31">
        <w:rPr>
          <w:rFonts w:ascii="Palatino Linotype" w:hAnsi="Palatino Linotype"/>
        </w:rPr>
        <w:t>Virginia participating</w:t>
      </w:r>
      <w:r w:rsidR="00B97BE5" w:rsidRPr="00B97BE5">
        <w:rPr>
          <w:rFonts w:ascii="Palatino Linotype" w:hAnsi="Palatino Linotype"/>
        </w:rPr>
        <w:t xml:space="preserve"> in TCI largely</w:t>
      </w:r>
      <w:r w:rsidR="00E04F15" w:rsidRPr="00B97BE5">
        <w:rPr>
          <w:rFonts w:ascii="Palatino Linotype" w:hAnsi="Palatino Linotype"/>
        </w:rPr>
        <w:t xml:space="preserve"> </w:t>
      </w:r>
      <w:r w:rsidRPr="00B97BE5">
        <w:rPr>
          <w:rFonts w:ascii="Palatino Linotype" w:hAnsi="Palatino Linotype"/>
        </w:rPr>
        <w:t>outweigh the benefits</w:t>
      </w:r>
      <w:r w:rsidR="00B97BE5" w:rsidRPr="00B97BE5">
        <w:rPr>
          <w:rFonts w:ascii="Palatino Linotype" w:hAnsi="Palatino Linotype"/>
        </w:rPr>
        <w:t xml:space="preserve"> from</w:t>
      </w:r>
      <w:r w:rsidR="00B33502">
        <w:rPr>
          <w:rFonts w:ascii="Palatino Linotype" w:hAnsi="Palatino Linotype"/>
        </w:rPr>
        <w:t xml:space="preserve"> the abatement of</w:t>
      </w:r>
      <w:r w:rsidR="00B97BE5" w:rsidRPr="00B97BE5">
        <w:rPr>
          <w:rFonts w:ascii="Palatino Linotype" w:hAnsi="Palatino Linotype"/>
        </w:rPr>
        <w:t xml:space="preserve"> emissions</w:t>
      </w:r>
      <w:r w:rsidRPr="00B97BE5">
        <w:rPr>
          <w:rFonts w:ascii="Palatino Linotype" w:hAnsi="Palatino Linotype"/>
        </w:rPr>
        <w:t xml:space="preserve">.  </w:t>
      </w:r>
      <w:r w:rsidR="00B97BE5" w:rsidRPr="00B97BE5">
        <w:rPr>
          <w:rFonts w:ascii="Palatino Linotype" w:hAnsi="Palatino Linotype"/>
        </w:rPr>
        <w:t>While</w:t>
      </w:r>
      <w:r w:rsidR="00AE2776">
        <w:rPr>
          <w:rFonts w:ascii="Palatino Linotype" w:hAnsi="Palatino Linotype"/>
        </w:rPr>
        <w:t xml:space="preserve"> </w:t>
      </w:r>
      <w:r w:rsidR="00B97BE5" w:rsidRPr="00B97BE5">
        <w:rPr>
          <w:rFonts w:ascii="Palatino Linotype" w:hAnsi="Palatino Linotype"/>
        </w:rPr>
        <w:t>benefits</w:t>
      </w:r>
      <w:r w:rsidR="00AE2776">
        <w:rPr>
          <w:rFonts w:ascii="Palatino Linotype" w:hAnsi="Palatino Linotype"/>
        </w:rPr>
        <w:t xml:space="preserve"> </w:t>
      </w:r>
      <w:r w:rsidR="007B3DA2">
        <w:rPr>
          <w:rFonts w:ascii="Palatino Linotype" w:hAnsi="Palatino Linotype"/>
        </w:rPr>
        <w:t xml:space="preserve">from the reduction of GHG </w:t>
      </w:r>
      <w:r w:rsidR="00AE2776">
        <w:rPr>
          <w:rFonts w:ascii="Palatino Linotype" w:hAnsi="Palatino Linotype"/>
        </w:rPr>
        <w:t>would</w:t>
      </w:r>
      <w:r w:rsidR="00B97BE5" w:rsidRPr="00B97BE5">
        <w:rPr>
          <w:rFonts w:ascii="Palatino Linotype" w:hAnsi="Palatino Linotype"/>
        </w:rPr>
        <w:t xml:space="preserve"> materialize under </w:t>
      </w:r>
      <w:r w:rsidR="00AE2776">
        <w:rPr>
          <w:rFonts w:ascii="Palatino Linotype" w:hAnsi="Palatino Linotype"/>
        </w:rPr>
        <w:t xml:space="preserve">an </w:t>
      </w:r>
      <w:r w:rsidR="00B97BE5" w:rsidRPr="00B97BE5">
        <w:rPr>
          <w:rFonts w:ascii="Palatino Linotype" w:hAnsi="Palatino Linotype"/>
        </w:rPr>
        <w:t xml:space="preserve">emissions cap, </w:t>
      </w:r>
      <w:r w:rsidR="00ED2D31">
        <w:rPr>
          <w:rFonts w:ascii="Palatino Linotype" w:hAnsi="Palatino Linotype"/>
        </w:rPr>
        <w:t>Virginia and</w:t>
      </w:r>
      <w:r w:rsidR="00B97BE5" w:rsidRPr="00B97BE5">
        <w:rPr>
          <w:rFonts w:ascii="Palatino Linotype" w:hAnsi="Palatino Linotype"/>
        </w:rPr>
        <w:t xml:space="preserve"> other cooperating jurisdictions</w:t>
      </w:r>
      <w:r w:rsidRPr="00B97BE5">
        <w:rPr>
          <w:rFonts w:ascii="Palatino Linotype" w:hAnsi="Palatino Linotype"/>
        </w:rPr>
        <w:t xml:space="preserve"> would bear the costs, while all </w:t>
      </w:r>
      <w:r w:rsidR="00B97BE5" w:rsidRPr="00B97BE5">
        <w:rPr>
          <w:rFonts w:ascii="Palatino Linotype" w:hAnsi="Palatino Linotype"/>
        </w:rPr>
        <w:t xml:space="preserve">global </w:t>
      </w:r>
      <w:r w:rsidRPr="00B97BE5">
        <w:rPr>
          <w:rFonts w:ascii="Palatino Linotype" w:hAnsi="Palatino Linotype"/>
        </w:rPr>
        <w:t xml:space="preserve">citizens </w:t>
      </w:r>
      <w:r w:rsidR="00B97BE5" w:rsidRPr="00B97BE5">
        <w:rPr>
          <w:rFonts w:ascii="Palatino Linotype" w:hAnsi="Palatino Linotype"/>
        </w:rPr>
        <w:t>reap</w:t>
      </w:r>
      <w:r w:rsidRPr="00B97BE5">
        <w:rPr>
          <w:rFonts w:ascii="Palatino Linotype" w:hAnsi="Palatino Linotype"/>
        </w:rPr>
        <w:t xml:space="preserve"> the</w:t>
      </w:r>
      <w:r w:rsidR="00AE2776">
        <w:rPr>
          <w:rFonts w:ascii="Palatino Linotype" w:hAnsi="Palatino Linotype"/>
        </w:rPr>
        <w:t xml:space="preserve"> benefits</w:t>
      </w:r>
      <w:r w:rsidRPr="00B97BE5">
        <w:rPr>
          <w:rFonts w:ascii="Palatino Linotype" w:hAnsi="Palatino Linotype"/>
        </w:rPr>
        <w:t xml:space="preserve">. </w:t>
      </w:r>
      <w:r w:rsidR="00ED2D31">
        <w:rPr>
          <w:rFonts w:ascii="Palatino Linotype" w:hAnsi="Palatino Linotype"/>
        </w:rPr>
        <w:t>Virginia lawmakers</w:t>
      </w:r>
      <w:r w:rsidRPr="00B97BE5">
        <w:rPr>
          <w:rFonts w:ascii="Palatino Linotype" w:hAnsi="Palatino Linotype"/>
        </w:rPr>
        <w:t xml:space="preserve"> should keep this in mind when considering</w:t>
      </w:r>
      <w:r w:rsidR="00B97BE5" w:rsidRPr="00B97BE5">
        <w:rPr>
          <w:rFonts w:ascii="Palatino Linotype" w:hAnsi="Palatino Linotype"/>
        </w:rPr>
        <w:t xml:space="preserve"> </w:t>
      </w:r>
      <w:r w:rsidR="00AE2776">
        <w:rPr>
          <w:rFonts w:ascii="Palatino Linotype" w:hAnsi="Palatino Linotype"/>
        </w:rPr>
        <w:t xml:space="preserve">the state’s participation </w:t>
      </w:r>
      <w:r w:rsidR="00B97BE5" w:rsidRPr="00B97BE5">
        <w:rPr>
          <w:rFonts w:ascii="Palatino Linotype" w:hAnsi="Palatino Linotype"/>
        </w:rPr>
        <w:t>in TCI</w:t>
      </w:r>
      <w:r w:rsidRPr="00B97BE5">
        <w:rPr>
          <w:rFonts w:ascii="Palatino Linotype" w:hAnsi="Palatino Linotype"/>
        </w:rPr>
        <w:t>.</w:t>
      </w:r>
      <w:r>
        <w:rPr>
          <w:rFonts w:ascii="Palatino Linotype" w:hAnsi="Palatino Linotype"/>
        </w:rPr>
        <w:t xml:space="preserve">  </w:t>
      </w:r>
    </w:p>
    <w:p w14:paraId="71CC430B" w14:textId="6B17A05F" w:rsidR="00997D46" w:rsidRDefault="00A3489F" w:rsidP="00006AE8">
      <w:pPr>
        <w:pStyle w:val="Heading1"/>
        <w:rPr>
          <w:rFonts w:ascii="Palatino Linotype" w:hAnsi="Palatino Linotype"/>
          <w:b/>
          <w:noProof/>
          <w:sz w:val="32"/>
          <w:szCs w:val="32"/>
        </w:rPr>
      </w:pPr>
      <w:bookmarkStart w:id="3" w:name="_Toc55394581"/>
      <w:r w:rsidRPr="0046140B">
        <w:rPr>
          <w:rFonts w:ascii="Palatino Linotype" w:hAnsi="Palatino Linotype"/>
          <w:b/>
          <w:noProof/>
          <w:sz w:val="32"/>
          <w:szCs w:val="32"/>
        </w:rPr>
        <w:t>Introduction</w:t>
      </w:r>
      <w:bookmarkEnd w:id="3"/>
    </w:p>
    <w:p w14:paraId="793A566E" w14:textId="3FBA1765" w:rsidR="00BA4A13" w:rsidRDefault="0056653D" w:rsidP="00BA4A13">
      <w:pPr>
        <w:shd w:val="clear" w:color="auto" w:fill="FFFFFF"/>
        <w:spacing w:before="100" w:beforeAutospacing="1" w:after="100" w:afterAutospacing="1" w:line="360" w:lineRule="auto"/>
        <w:ind w:firstLine="720"/>
        <w:jc w:val="both"/>
        <w:rPr>
          <w:rFonts w:ascii="Palatino Linotype" w:hAnsi="Palatino Linotype" w:cs="Calibri"/>
          <w:color w:val="000000"/>
          <w:szCs w:val="24"/>
        </w:rPr>
      </w:pPr>
      <w:r w:rsidRPr="00C73C5B">
        <w:rPr>
          <w:rFonts w:ascii="Palatino Linotype" w:hAnsi="Palatino Linotype"/>
          <w:color w:val="000000"/>
          <w:szCs w:val="24"/>
          <w:bdr w:val="none" w:sz="0" w:space="0" w:color="auto" w:frame="1"/>
        </w:rPr>
        <w:t xml:space="preserve">The Transportation and Climate Initiative of the Northeast and Mid-Atlantic States (TCI) Framework for a Draft Regional Policy Proposal, released </w:t>
      </w:r>
      <w:r w:rsidR="00D6634E">
        <w:rPr>
          <w:rFonts w:ascii="Palatino Linotype" w:hAnsi="Palatino Linotype"/>
          <w:color w:val="000000"/>
          <w:szCs w:val="24"/>
          <w:bdr w:val="none" w:sz="0" w:space="0" w:color="auto" w:frame="1"/>
        </w:rPr>
        <w:t xml:space="preserve">on </w:t>
      </w:r>
      <w:r w:rsidRPr="00C73C5B">
        <w:rPr>
          <w:rFonts w:ascii="Palatino Linotype" w:hAnsi="Palatino Linotype"/>
          <w:color w:val="000000"/>
          <w:szCs w:val="24"/>
          <w:bdr w:val="none" w:sz="0" w:space="0" w:color="auto" w:frame="1"/>
        </w:rPr>
        <w:t xml:space="preserve">October 1, 2019, proposes a “Cap and Invest” system in which fuel suppliers would be required to </w:t>
      </w:r>
      <w:r w:rsidRPr="00C73C5B">
        <w:rPr>
          <w:rFonts w:ascii="Palatino Linotype" w:hAnsi="Palatino Linotype"/>
          <w:color w:val="000000"/>
          <w:szCs w:val="24"/>
          <w:bdr w:val="none" w:sz="0" w:space="0" w:color="auto" w:frame="1"/>
        </w:rPr>
        <w:lastRenderedPageBreak/>
        <w:t>purchase carbon allowances through an auction-based system.</w:t>
      </w:r>
      <w:r w:rsidR="003872DF">
        <w:rPr>
          <w:rStyle w:val="FootnoteReference"/>
          <w:rFonts w:ascii="Palatino Linotype" w:hAnsi="Palatino Linotype" w:cs="Calibri"/>
          <w:color w:val="000000"/>
          <w:szCs w:val="24"/>
        </w:rPr>
        <w:footnoteReference w:customMarkFollows="1" w:id="7"/>
        <w:t>6</w:t>
      </w:r>
      <w:r w:rsidRPr="00C73C5B">
        <w:rPr>
          <w:rFonts w:ascii="Palatino Linotype" w:hAnsi="Palatino Linotype" w:cs="Calibri"/>
          <w:color w:val="000000"/>
          <w:szCs w:val="24"/>
        </w:rPr>
        <w:t xml:space="preserve"> </w:t>
      </w:r>
      <w:r w:rsidRPr="00C73C5B">
        <w:rPr>
          <w:rFonts w:ascii="Palatino Linotype" w:hAnsi="Palatino Linotype"/>
          <w:color w:val="000000"/>
          <w:szCs w:val="24"/>
          <w:bdr w:val="none" w:sz="0" w:space="0" w:color="auto" w:frame="1"/>
        </w:rPr>
        <w:t>The “cap” or limit for carbon emissions is determined through the use of a “combination of baseline emissions for three recent years, and projected emissions estimated through modeling.” The cap would be set at a level that then declines every year at a rate chosen by TCI jurisdictions to support their emissions reduction goals. Analysis of the program’s impact would also inform the cap level.</w:t>
      </w:r>
      <w:r w:rsidRPr="00C73C5B">
        <w:rPr>
          <w:rFonts w:ascii="Palatino Linotype" w:hAnsi="Palatino Linotype" w:cs="Calibri"/>
          <w:color w:val="000000"/>
          <w:szCs w:val="24"/>
        </w:rPr>
        <w:t xml:space="preserve"> </w:t>
      </w:r>
    </w:p>
    <w:p w14:paraId="18C2523E" w14:textId="6120550E" w:rsidR="0003158B" w:rsidRDefault="00091074" w:rsidP="00F71896">
      <w:pPr>
        <w:shd w:val="clear" w:color="auto" w:fill="FFFFFF"/>
        <w:spacing w:before="100" w:beforeAutospacing="1" w:after="100" w:afterAutospacing="1" w:line="360" w:lineRule="auto"/>
        <w:jc w:val="both"/>
        <w:rPr>
          <w:rFonts w:ascii="Palatino Linotype" w:hAnsi="Palatino Linotype"/>
          <w:color w:val="000000"/>
          <w:szCs w:val="24"/>
          <w:bdr w:val="none" w:sz="0" w:space="0" w:color="auto" w:frame="1"/>
        </w:rPr>
      </w:pPr>
      <w:r>
        <w:rPr>
          <w:rFonts w:ascii="Palatino Linotype" w:hAnsi="Palatino Linotype"/>
          <w:color w:val="000000"/>
          <w:szCs w:val="24"/>
          <w:bdr w:val="none" w:sz="0" w:space="0" w:color="auto" w:frame="1"/>
        </w:rPr>
        <w:tab/>
      </w:r>
      <w:r w:rsidR="00D807EA">
        <w:rPr>
          <w:rFonts w:ascii="Palatino Linotype" w:hAnsi="Palatino Linotype"/>
          <w:color w:val="000000"/>
          <w:szCs w:val="24"/>
          <w:bdr w:val="none" w:sz="0" w:space="0" w:color="auto" w:frame="1"/>
        </w:rPr>
        <w:t xml:space="preserve"> </w:t>
      </w:r>
      <w:r w:rsidR="0056653D" w:rsidRPr="00C73C5B">
        <w:rPr>
          <w:rFonts w:ascii="Palatino Linotype" w:hAnsi="Palatino Linotype"/>
          <w:color w:val="000000"/>
          <w:szCs w:val="24"/>
          <w:bdr w:val="none" w:sz="0" w:space="0" w:color="auto" w:frame="1"/>
        </w:rPr>
        <w:t xml:space="preserve">After determining the cap, carbon allowances (designated allowances of carbon emissions from the combustion of the fossil </w:t>
      </w:r>
      <w:r w:rsidR="00371D42">
        <w:rPr>
          <w:rFonts w:ascii="Palatino Linotype" w:hAnsi="Palatino Linotype"/>
          <w:color w:val="000000"/>
          <w:szCs w:val="24"/>
          <w:bdr w:val="none" w:sz="0" w:space="0" w:color="auto" w:frame="1"/>
        </w:rPr>
        <w:t xml:space="preserve">fuel </w:t>
      </w:r>
      <w:r w:rsidR="0056653D" w:rsidRPr="00C73C5B">
        <w:rPr>
          <w:rFonts w:ascii="Palatino Linotype" w:hAnsi="Palatino Linotype"/>
          <w:color w:val="000000"/>
          <w:szCs w:val="24"/>
          <w:bdr w:val="none" w:sz="0" w:space="0" w:color="auto" w:frame="1"/>
        </w:rPr>
        <w:t>component of finished motor gasoline and on-road diesel fuel in the region) would be auctioned off to the highest bidder. Accompanying the auction process and new market for carbon allowances, a “regional organization would be used to conduct carbon market monitoring, auction administration</w:t>
      </w:r>
      <w:r w:rsidR="00D6634E">
        <w:rPr>
          <w:rFonts w:ascii="Palatino Linotype" w:hAnsi="Palatino Linotype"/>
          <w:color w:val="000000"/>
          <w:szCs w:val="24"/>
          <w:bdr w:val="none" w:sz="0" w:space="0" w:color="auto" w:frame="1"/>
        </w:rPr>
        <w:t>,</w:t>
      </w:r>
      <w:r w:rsidR="0056653D" w:rsidRPr="00C73C5B">
        <w:rPr>
          <w:rFonts w:ascii="Palatino Linotype" w:hAnsi="Palatino Linotype"/>
          <w:color w:val="000000"/>
          <w:szCs w:val="24"/>
          <w:bdr w:val="none" w:sz="0" w:space="0" w:color="auto" w:frame="1"/>
        </w:rPr>
        <w:t xml:space="preserve"> and allowance tracking. This would include the establishment and maintenance of a system to collect and manage reported emissions-related data from regulated entities and track allowance accounts.” TCI will also monitor emission allowances and transportation fuel markets.</w:t>
      </w:r>
      <w:r w:rsidR="00E5414A">
        <w:rPr>
          <w:rFonts w:ascii="Palatino Linotype" w:hAnsi="Palatino Linotype"/>
        </w:rPr>
        <w:t xml:space="preserve"> </w:t>
      </w:r>
      <w:r w:rsidR="0056653D" w:rsidRPr="00C73C5B">
        <w:rPr>
          <w:rFonts w:ascii="Palatino Linotype" w:hAnsi="Palatino Linotype"/>
        </w:rPr>
        <w:t xml:space="preserve">According to </w:t>
      </w:r>
      <w:r w:rsidR="0056653D" w:rsidRPr="00C73C5B">
        <w:rPr>
          <w:rFonts w:ascii="Palatino Linotype" w:hAnsi="Palatino Linotype"/>
          <w:color w:val="000000"/>
          <w:szCs w:val="24"/>
          <w:bdr w:val="none" w:sz="0" w:space="0" w:color="auto" w:frame="1"/>
        </w:rPr>
        <w:t xml:space="preserve">the TCI Framework for a Draft Regional Policy Proposal, </w:t>
      </w:r>
    </w:p>
    <w:p w14:paraId="4D94FA3F" w14:textId="5AD51E95" w:rsidR="0003158B" w:rsidRDefault="0056653D" w:rsidP="0003158B">
      <w:pPr>
        <w:ind w:left="720"/>
        <w:jc w:val="both"/>
        <w:rPr>
          <w:rFonts w:ascii="Palatino Linotype" w:hAnsi="Palatino Linotype"/>
          <w:i/>
        </w:rPr>
      </w:pPr>
      <w:r w:rsidRPr="00C73C5B">
        <w:rPr>
          <w:rFonts w:ascii="Palatino Linotype" w:hAnsi="Palatino Linotype"/>
          <w:color w:val="000000"/>
          <w:szCs w:val="24"/>
          <w:bdr w:val="none" w:sz="0" w:space="0" w:color="auto" w:frame="1"/>
        </w:rPr>
        <w:t>Fuel suppliers would be required to report emissions to TCI jurisdictions, plus supporting information. Compliance obligations would be calculated based on the emissions that occur when the affected fuel is combusted, using standard emission factors developed by the United State</w:t>
      </w:r>
      <w:r>
        <w:rPr>
          <w:rFonts w:ascii="Palatino Linotype" w:hAnsi="Palatino Linotype"/>
          <w:color w:val="000000"/>
          <w:szCs w:val="24"/>
          <w:bdr w:val="none" w:sz="0" w:space="0" w:color="auto" w:frame="1"/>
        </w:rPr>
        <w:t>s</w:t>
      </w:r>
      <w:r w:rsidRPr="00C73C5B">
        <w:rPr>
          <w:rFonts w:ascii="Palatino Linotype" w:hAnsi="Palatino Linotype"/>
          <w:color w:val="000000"/>
          <w:szCs w:val="24"/>
          <w:bdr w:val="none" w:sz="0" w:space="0" w:color="auto" w:frame="1"/>
        </w:rPr>
        <w:t> Environmental Protection Agency (US EPA), California, or other similar sources.</w:t>
      </w:r>
      <w:r w:rsidRPr="00C73C5B">
        <w:rPr>
          <w:rFonts w:ascii="Palatino Linotype" w:hAnsi="Palatino Linotype"/>
          <w:i/>
        </w:rPr>
        <w:t xml:space="preserve"> </w:t>
      </w:r>
    </w:p>
    <w:p w14:paraId="7B1D0E0E" w14:textId="77777777" w:rsidR="0003158B" w:rsidRDefault="0003158B" w:rsidP="00F71896">
      <w:pPr>
        <w:ind w:left="720"/>
        <w:jc w:val="both"/>
        <w:rPr>
          <w:rFonts w:ascii="Palatino Linotype" w:hAnsi="Palatino Linotype"/>
          <w:i/>
        </w:rPr>
      </w:pPr>
    </w:p>
    <w:p w14:paraId="46133761" w14:textId="6D00BDC7" w:rsidR="00353A4C" w:rsidRPr="004552E9" w:rsidRDefault="00D6634E" w:rsidP="0003158B">
      <w:pPr>
        <w:spacing w:line="360" w:lineRule="auto"/>
        <w:jc w:val="both"/>
        <w:rPr>
          <w:rFonts w:ascii="Palatino Linotype" w:hAnsi="Palatino Linotype"/>
          <w:color w:val="000000"/>
          <w:szCs w:val="24"/>
          <w:bdr w:val="none" w:sz="0" w:space="0" w:color="auto" w:frame="1"/>
        </w:rPr>
      </w:pPr>
      <w:r>
        <w:rPr>
          <w:rFonts w:ascii="Palatino Linotype" w:hAnsi="Palatino Linotype"/>
          <w:color w:val="000000"/>
          <w:szCs w:val="24"/>
          <w:bdr w:val="none" w:sz="0" w:space="0" w:color="auto" w:frame="1"/>
        </w:rPr>
        <w:lastRenderedPageBreak/>
        <w:t>T</w:t>
      </w:r>
      <w:r w:rsidR="0056653D" w:rsidRPr="00C73C5B">
        <w:rPr>
          <w:rFonts w:ascii="Palatino Linotype" w:hAnsi="Palatino Linotype"/>
          <w:color w:val="000000"/>
          <w:szCs w:val="24"/>
          <w:bdr w:val="none" w:sz="0" w:space="0" w:color="auto" w:frame="1"/>
        </w:rPr>
        <w:t>o monitor emissions, “TCI Jurisdictions”</w:t>
      </w:r>
      <w:r w:rsidR="00A239BC">
        <w:rPr>
          <w:rFonts w:ascii="Palatino Linotype" w:hAnsi="Palatino Linotype"/>
          <w:color w:val="000000"/>
          <w:szCs w:val="24"/>
          <w:bdr w:val="none" w:sz="0" w:space="0" w:color="auto" w:frame="1"/>
        </w:rPr>
        <w:t xml:space="preserve"> (</w:t>
      </w:r>
      <w:r w:rsidR="0056653D" w:rsidRPr="00C73C5B">
        <w:rPr>
          <w:rFonts w:ascii="Palatino Linotype" w:hAnsi="Palatino Linotype"/>
          <w:color w:val="000000"/>
          <w:szCs w:val="24"/>
          <w:bdr w:val="none" w:sz="0" w:space="0" w:color="auto" w:frame="1"/>
        </w:rPr>
        <w:t>most likely individual states or regional enforcement bodies</w:t>
      </w:r>
      <w:r w:rsidR="00A239BC">
        <w:rPr>
          <w:rFonts w:ascii="Palatino Linotype" w:hAnsi="Palatino Linotype"/>
          <w:color w:val="000000"/>
          <w:szCs w:val="24"/>
          <w:bdr w:val="none" w:sz="0" w:space="0" w:color="auto" w:frame="1"/>
        </w:rPr>
        <w:t>)</w:t>
      </w:r>
      <w:r w:rsidR="0056653D" w:rsidRPr="00C73C5B">
        <w:rPr>
          <w:rFonts w:ascii="Palatino Linotype" w:hAnsi="Palatino Linotype"/>
          <w:color w:val="000000"/>
          <w:szCs w:val="24"/>
          <w:bdr w:val="none" w:sz="0" w:space="0" w:color="auto" w:frame="1"/>
        </w:rPr>
        <w:t xml:space="preserve"> would create</w:t>
      </w:r>
      <w:r w:rsidR="00C072FE">
        <w:rPr>
          <w:rFonts w:ascii="Palatino Linotype" w:hAnsi="Palatino Linotype"/>
          <w:color w:val="000000"/>
          <w:szCs w:val="24"/>
          <w:bdr w:val="none" w:sz="0" w:space="0" w:color="auto" w:frame="1"/>
        </w:rPr>
        <w:t xml:space="preserve"> </w:t>
      </w:r>
      <w:r w:rsidR="0056653D" w:rsidRPr="00C73C5B">
        <w:rPr>
          <w:rFonts w:ascii="Palatino Linotype" w:hAnsi="Palatino Linotype"/>
          <w:color w:val="000000"/>
          <w:szCs w:val="24"/>
          <w:bdr w:val="none" w:sz="0" w:space="0" w:color="auto" w:frame="1"/>
        </w:rPr>
        <w:t>electronic monitoring system</w:t>
      </w:r>
      <w:r w:rsidR="00C072FE">
        <w:rPr>
          <w:rFonts w:ascii="Palatino Linotype" w:hAnsi="Palatino Linotype"/>
          <w:color w:val="000000"/>
          <w:szCs w:val="24"/>
          <w:bdr w:val="none" w:sz="0" w:space="0" w:color="auto" w:frame="1"/>
        </w:rPr>
        <w:t>s</w:t>
      </w:r>
      <w:r w:rsidR="0056653D" w:rsidRPr="00C73C5B">
        <w:rPr>
          <w:rFonts w:ascii="Palatino Linotype" w:hAnsi="Palatino Linotype"/>
          <w:color w:val="000000"/>
          <w:szCs w:val="24"/>
          <w:bdr w:val="none" w:sz="0" w:space="0" w:color="auto" w:frame="1"/>
        </w:rPr>
        <w:t>. Reports would be required monthly or quarterly and would either be verified by a third-party</w:t>
      </w:r>
      <w:r w:rsidR="00A239BC">
        <w:rPr>
          <w:rFonts w:ascii="Palatino Linotype" w:hAnsi="Palatino Linotype"/>
          <w:color w:val="000000"/>
          <w:szCs w:val="24"/>
          <w:bdr w:val="none" w:sz="0" w:space="0" w:color="auto" w:frame="1"/>
        </w:rPr>
        <w:t xml:space="preserve"> or</w:t>
      </w:r>
      <w:r w:rsidR="0056653D" w:rsidRPr="00C73C5B">
        <w:rPr>
          <w:rFonts w:ascii="Palatino Linotype" w:hAnsi="Palatino Linotype"/>
          <w:color w:val="000000"/>
          <w:szCs w:val="24"/>
          <w:bdr w:val="none" w:sz="0" w:space="0" w:color="auto" w:frame="1"/>
        </w:rPr>
        <w:t xml:space="preserve"> a government agency or self-verified</w:t>
      </w:r>
      <w:r w:rsidR="004255B7">
        <w:rPr>
          <w:rFonts w:ascii="Palatino Linotype" w:hAnsi="Palatino Linotype"/>
          <w:color w:val="000000"/>
          <w:szCs w:val="24"/>
          <w:bdr w:val="none" w:sz="0" w:space="0" w:color="auto" w:frame="1"/>
        </w:rPr>
        <w:t xml:space="preserve"> by individual jurisdictions</w:t>
      </w:r>
      <w:r w:rsidR="0056653D" w:rsidRPr="00C73C5B">
        <w:rPr>
          <w:rFonts w:ascii="Palatino Linotype" w:hAnsi="Palatino Linotype"/>
          <w:color w:val="000000"/>
          <w:szCs w:val="24"/>
          <w:bdr w:val="none" w:sz="0" w:space="0" w:color="auto" w:frame="1"/>
        </w:rPr>
        <w:t>.</w:t>
      </w:r>
    </w:p>
    <w:p w14:paraId="64121CB2" w14:textId="351E3947" w:rsidR="0056653D" w:rsidRPr="00C73C5B" w:rsidRDefault="0056653D" w:rsidP="005538D1">
      <w:pPr>
        <w:spacing w:line="360" w:lineRule="auto"/>
        <w:ind w:firstLine="720"/>
        <w:jc w:val="both"/>
        <w:rPr>
          <w:rFonts w:ascii="Palatino Linotype" w:hAnsi="Palatino Linotype"/>
        </w:rPr>
      </w:pPr>
      <w:r w:rsidRPr="00C73C5B">
        <w:rPr>
          <w:rFonts w:ascii="Palatino Linotype" w:hAnsi="Palatino Linotype"/>
        </w:rPr>
        <w:t xml:space="preserve">As the debate over policy responses to climate change intensifies, economists have generally </w:t>
      </w:r>
      <w:r w:rsidR="004552E9">
        <w:rPr>
          <w:rFonts w:ascii="Palatino Linotype" w:hAnsi="Palatino Linotype"/>
        </w:rPr>
        <w:t xml:space="preserve">advocated </w:t>
      </w:r>
      <w:r w:rsidRPr="00C73C5B">
        <w:rPr>
          <w:rFonts w:ascii="Palatino Linotype" w:hAnsi="Palatino Linotype"/>
        </w:rPr>
        <w:t xml:space="preserve">carbon taxes or </w:t>
      </w:r>
      <w:r w:rsidR="004552E9">
        <w:rPr>
          <w:rFonts w:ascii="Palatino Linotype" w:hAnsi="Palatino Linotype"/>
        </w:rPr>
        <w:t xml:space="preserve">suggested </w:t>
      </w:r>
      <w:r w:rsidRPr="00C73C5B">
        <w:rPr>
          <w:rFonts w:ascii="Palatino Linotype" w:hAnsi="Palatino Linotype"/>
        </w:rPr>
        <w:t xml:space="preserve">cap-and-trade </w:t>
      </w:r>
      <w:r w:rsidR="004255B7">
        <w:rPr>
          <w:rFonts w:ascii="Palatino Linotype" w:hAnsi="Palatino Linotype"/>
        </w:rPr>
        <w:t>regimes</w:t>
      </w:r>
      <w:r w:rsidRPr="00C73C5B">
        <w:rPr>
          <w:rFonts w:ascii="Palatino Linotype" w:hAnsi="Palatino Linotype"/>
        </w:rPr>
        <w:t xml:space="preserve"> as possible solutions.</w:t>
      </w:r>
      <w:r w:rsidR="003872DF">
        <w:rPr>
          <w:rStyle w:val="FootnoteReference"/>
          <w:rFonts w:ascii="Palatino Linotype" w:hAnsi="Palatino Linotype"/>
        </w:rPr>
        <w:footnoteReference w:customMarkFollows="1" w:id="8"/>
        <w:t>7</w:t>
      </w:r>
      <w:r w:rsidR="003872DF">
        <w:rPr>
          <w:rFonts w:ascii="Palatino Linotype" w:hAnsi="Palatino Linotype"/>
        </w:rPr>
        <w:t xml:space="preserve"> </w:t>
      </w:r>
      <w:r w:rsidRPr="00C73C5B">
        <w:rPr>
          <w:rFonts w:ascii="Palatino Linotype" w:hAnsi="Palatino Linotype"/>
        </w:rPr>
        <w:t xml:space="preserve">Economists view GHG as a negative externality. </w:t>
      </w:r>
      <w:r w:rsidR="003A21C0">
        <w:rPr>
          <w:rFonts w:ascii="Palatino Linotype" w:hAnsi="Palatino Linotype"/>
        </w:rPr>
        <w:t>W</w:t>
      </w:r>
      <w:r w:rsidRPr="00C73C5B">
        <w:rPr>
          <w:rFonts w:ascii="Palatino Linotype" w:hAnsi="Palatino Linotype"/>
        </w:rPr>
        <w:t>hen one considers the effects of the greenhouse gas</w:t>
      </w:r>
      <w:r w:rsidR="00371D42">
        <w:rPr>
          <w:rFonts w:ascii="Palatino Linotype" w:hAnsi="Palatino Linotype"/>
        </w:rPr>
        <w:t>es</w:t>
      </w:r>
      <w:r w:rsidRPr="00C73C5B">
        <w:rPr>
          <w:rFonts w:ascii="Palatino Linotype" w:hAnsi="Palatino Linotype"/>
        </w:rPr>
        <w:t xml:space="preserve"> on crop yields, </w:t>
      </w:r>
      <w:r w:rsidR="00B90B68">
        <w:rPr>
          <w:rFonts w:ascii="Palatino Linotype" w:hAnsi="Palatino Linotype"/>
        </w:rPr>
        <w:t xml:space="preserve">sea </w:t>
      </w:r>
      <w:r w:rsidRPr="00C73C5B">
        <w:rPr>
          <w:rFonts w:ascii="Palatino Linotype" w:hAnsi="Palatino Linotype"/>
        </w:rPr>
        <w:t>levels, ocean acidification, and a plethora of other areas directly affected by a rise in temperature caused by the greenhouse effect</w:t>
      </w:r>
      <w:r w:rsidR="003A21C0">
        <w:rPr>
          <w:rFonts w:ascii="Palatino Linotype" w:hAnsi="Palatino Linotype"/>
        </w:rPr>
        <w:t>, it becomes clear that GHG is a negative externality</w:t>
      </w:r>
      <w:r w:rsidRPr="00C73C5B">
        <w:rPr>
          <w:rFonts w:ascii="Palatino Linotype" w:hAnsi="Palatino Linotype"/>
        </w:rPr>
        <w:t xml:space="preserve">. </w:t>
      </w:r>
    </w:p>
    <w:p w14:paraId="25E3CA8F" w14:textId="0937B98E" w:rsidR="0056653D" w:rsidRPr="00C73C5B" w:rsidRDefault="0056653D" w:rsidP="005538D1">
      <w:pPr>
        <w:spacing w:line="360" w:lineRule="auto"/>
        <w:ind w:firstLine="720"/>
        <w:jc w:val="both"/>
        <w:rPr>
          <w:rFonts w:ascii="Palatino Linotype" w:hAnsi="Palatino Linotype"/>
        </w:rPr>
      </w:pPr>
      <w:r w:rsidRPr="00C73C5B">
        <w:rPr>
          <w:rFonts w:ascii="Palatino Linotype" w:hAnsi="Palatino Linotype"/>
        </w:rPr>
        <w:t>One way to curb an externality (GHG emissions) is to put a price on the harm it causes (shoreline destruction, decreased fishing, etc.). The most common instrument is a tax, which is intended to create a true market price for the externality (in this case, GHG emissions). As with all taxes, the increase in price resulting from a tax is supposed to decrease consumption of the good</w:t>
      </w:r>
      <w:r w:rsidR="00D6634E">
        <w:rPr>
          <w:rFonts w:ascii="Palatino Linotype" w:hAnsi="Palatino Linotype"/>
        </w:rPr>
        <w:t>s</w:t>
      </w:r>
      <w:r w:rsidRPr="00C73C5B">
        <w:rPr>
          <w:rFonts w:ascii="Palatino Linotype" w:hAnsi="Palatino Linotype"/>
        </w:rPr>
        <w:t xml:space="preserve"> being taxed. An example of taxes with similar goals are those levied on cigarettes and other so-called “sin taxes</w:t>
      </w:r>
      <w:r w:rsidR="00BF3513">
        <w:rPr>
          <w:rFonts w:ascii="Palatino Linotype" w:hAnsi="Palatino Linotype"/>
        </w:rPr>
        <w:t>.</w:t>
      </w:r>
      <w:r w:rsidRPr="00C73C5B">
        <w:rPr>
          <w:rFonts w:ascii="Palatino Linotype" w:hAnsi="Palatino Linotype"/>
        </w:rPr>
        <w:t xml:space="preserve">” </w:t>
      </w:r>
      <w:r w:rsidR="003A21C0">
        <w:rPr>
          <w:rFonts w:ascii="Palatino Linotype" w:hAnsi="Palatino Linotype"/>
        </w:rPr>
        <w:t>Similarly, p</w:t>
      </w:r>
      <w:r w:rsidRPr="00C73C5B">
        <w:rPr>
          <w:rFonts w:ascii="Palatino Linotype" w:hAnsi="Palatino Linotype"/>
        </w:rPr>
        <w:t xml:space="preserve">roponents claim that a carbon tax would give consumers an incentive to decrease their consumption of fossil fuels, which contribute to GHG emissions. </w:t>
      </w:r>
    </w:p>
    <w:p w14:paraId="36D35773" w14:textId="7561632E" w:rsidR="00B95619" w:rsidRPr="00353A4C" w:rsidRDefault="0056653D" w:rsidP="00353A4C">
      <w:pPr>
        <w:spacing w:line="360" w:lineRule="auto"/>
        <w:ind w:firstLine="720"/>
        <w:jc w:val="both"/>
        <w:rPr>
          <w:rFonts w:ascii="Palatino Linotype" w:hAnsi="Palatino Linotype"/>
        </w:rPr>
      </w:pPr>
      <w:r w:rsidRPr="00C73C5B">
        <w:rPr>
          <w:rFonts w:ascii="Palatino Linotype" w:hAnsi="Palatino Linotype"/>
        </w:rPr>
        <w:t xml:space="preserve">Cap-and-trade systems also impose </w:t>
      </w:r>
      <w:r>
        <w:rPr>
          <w:rFonts w:ascii="Palatino Linotype" w:hAnsi="Palatino Linotype"/>
        </w:rPr>
        <w:t xml:space="preserve">an </w:t>
      </w:r>
      <w:r w:rsidRPr="00C73C5B">
        <w:rPr>
          <w:rFonts w:ascii="Palatino Linotype" w:hAnsi="Palatino Linotype"/>
        </w:rPr>
        <w:t xml:space="preserve">additional cost on carbon emissions, </w:t>
      </w:r>
      <w:r>
        <w:rPr>
          <w:rFonts w:ascii="Palatino Linotype" w:hAnsi="Palatino Linotype"/>
        </w:rPr>
        <w:t>albeit</w:t>
      </w:r>
      <w:r w:rsidRPr="00C73C5B">
        <w:rPr>
          <w:rFonts w:ascii="Palatino Linotype" w:hAnsi="Palatino Linotype"/>
        </w:rPr>
        <w:t xml:space="preserve"> in a very different way. The “cap” part of a cap-and-trade system entails establishing a cap of allowable emissions for a region, country, state, or locality. The emissions under the cap are partitioned into pre-determined allowances, which are then either allocated by need or auctioned off to the highest bidder. Those firms or individuals in possession </w:t>
      </w:r>
      <w:r w:rsidRPr="00C73C5B">
        <w:rPr>
          <w:rFonts w:ascii="Palatino Linotype" w:hAnsi="Palatino Linotype"/>
        </w:rPr>
        <w:lastRenderedPageBreak/>
        <w:t xml:space="preserve">of the allowances are free to trade or purchase the allowances from each other, hence the “trade” in cap-and-trade. </w:t>
      </w:r>
    </w:p>
    <w:p w14:paraId="0FB5A16D" w14:textId="77777777" w:rsidR="00435BB9" w:rsidRDefault="00435BB9" w:rsidP="00006AE8">
      <w:pPr>
        <w:pStyle w:val="Heading1"/>
        <w:rPr>
          <w:rFonts w:ascii="Palatino Linotype" w:hAnsi="Palatino Linotype"/>
          <w:b/>
          <w:noProof/>
          <w:sz w:val="32"/>
          <w:szCs w:val="32"/>
        </w:rPr>
      </w:pPr>
    </w:p>
    <w:p w14:paraId="7AF9C2F1" w14:textId="77777777" w:rsidR="00435BB9" w:rsidRDefault="00435BB9">
      <w:pPr>
        <w:rPr>
          <w:rFonts w:ascii="Palatino Linotype" w:hAnsi="Palatino Linotype"/>
          <w:b/>
          <w:noProof/>
          <w:color w:val="333300"/>
          <w:sz w:val="32"/>
          <w:szCs w:val="32"/>
        </w:rPr>
      </w:pPr>
      <w:r>
        <w:rPr>
          <w:rFonts w:ascii="Palatino Linotype" w:hAnsi="Palatino Linotype"/>
          <w:b/>
          <w:noProof/>
          <w:sz w:val="32"/>
          <w:szCs w:val="32"/>
        </w:rPr>
        <w:br w:type="page"/>
      </w:r>
    </w:p>
    <w:p w14:paraId="67FB9356" w14:textId="0E30A36A" w:rsidR="00B95619" w:rsidRDefault="0056653D" w:rsidP="00006AE8">
      <w:pPr>
        <w:pStyle w:val="Heading1"/>
        <w:rPr>
          <w:rFonts w:ascii="Palatino Linotype" w:hAnsi="Palatino Linotype"/>
          <w:b/>
          <w:noProof/>
          <w:sz w:val="32"/>
          <w:szCs w:val="32"/>
        </w:rPr>
      </w:pPr>
      <w:bookmarkStart w:id="4" w:name="_Toc55394582"/>
      <w:r w:rsidRPr="00006AE8">
        <w:rPr>
          <w:rFonts w:ascii="Palatino Linotype" w:hAnsi="Palatino Linotype"/>
          <w:b/>
          <w:noProof/>
          <w:sz w:val="32"/>
          <w:szCs w:val="32"/>
        </w:rPr>
        <w:lastRenderedPageBreak/>
        <w:t>Existing Cap-and-Trade Systems</w:t>
      </w:r>
      <w:bookmarkEnd w:id="4"/>
      <w:r w:rsidRPr="00006AE8">
        <w:rPr>
          <w:rFonts w:ascii="Palatino Linotype" w:hAnsi="Palatino Linotype"/>
          <w:b/>
          <w:noProof/>
          <w:sz w:val="32"/>
          <w:szCs w:val="32"/>
        </w:rPr>
        <w:t xml:space="preserve"> </w:t>
      </w:r>
    </w:p>
    <w:p w14:paraId="1BFA7E33" w14:textId="77777777" w:rsidR="006D0920" w:rsidRDefault="006D0920" w:rsidP="006D0920"/>
    <w:p w14:paraId="621E8D42" w14:textId="3CB12191" w:rsidR="00CC6A95" w:rsidRPr="00353A4C" w:rsidRDefault="006D0920" w:rsidP="00353A4C">
      <w:pPr>
        <w:spacing w:line="360" w:lineRule="auto"/>
        <w:ind w:firstLine="720"/>
        <w:rPr>
          <w:rFonts w:ascii="Palatino Linotype" w:hAnsi="Palatino Linotype"/>
        </w:rPr>
      </w:pPr>
      <w:r>
        <w:rPr>
          <w:rFonts w:ascii="Palatino Linotype" w:hAnsi="Palatino Linotype"/>
        </w:rPr>
        <w:t>T</w:t>
      </w:r>
      <w:r w:rsidR="00CC6A95" w:rsidRPr="006D0920">
        <w:rPr>
          <w:rFonts w:ascii="Palatino Linotype" w:hAnsi="Palatino Linotype"/>
        </w:rPr>
        <w:t>he European Union</w:t>
      </w:r>
      <w:r w:rsidR="00CE67A3">
        <w:rPr>
          <w:rFonts w:ascii="Palatino Linotype" w:hAnsi="Palatino Linotype"/>
        </w:rPr>
        <w:t xml:space="preserve"> and</w:t>
      </w:r>
      <w:r w:rsidR="008B4DF4" w:rsidRPr="008B4DF4">
        <w:rPr>
          <w:rFonts w:ascii="Palatino Linotype" w:hAnsi="Palatino Linotype"/>
        </w:rPr>
        <w:t xml:space="preserve"> </w:t>
      </w:r>
      <w:r w:rsidR="00CC6A95" w:rsidRPr="006D0920">
        <w:rPr>
          <w:rFonts w:ascii="Palatino Linotype" w:hAnsi="Palatino Linotype"/>
        </w:rPr>
        <w:t>the state of California have instituted cap-and</w:t>
      </w:r>
      <w:r w:rsidR="004C6129">
        <w:rPr>
          <w:rFonts w:ascii="Palatino Linotype" w:hAnsi="Palatino Linotype"/>
        </w:rPr>
        <w:t>-trade systems akin to TCI</w:t>
      </w:r>
      <w:r w:rsidR="00CE67A3">
        <w:rPr>
          <w:rFonts w:ascii="Palatino Linotype" w:hAnsi="Palatino Linotype"/>
        </w:rPr>
        <w:t>, with China soon to be implementing a similar system</w:t>
      </w:r>
      <w:r w:rsidR="004C6129">
        <w:rPr>
          <w:rFonts w:ascii="Palatino Linotype" w:hAnsi="Palatino Linotype"/>
        </w:rPr>
        <w:t>.</w:t>
      </w:r>
    </w:p>
    <w:p w14:paraId="46181135" w14:textId="4942763A" w:rsidR="0056653D" w:rsidRPr="00153FBD" w:rsidRDefault="008831A3" w:rsidP="007F411F">
      <w:pPr>
        <w:pStyle w:val="Heading2"/>
        <w:rPr>
          <w:rFonts w:ascii="Palatino Linotype" w:hAnsi="Palatino Linotype"/>
          <w:b/>
          <w:bCs/>
          <w:iCs/>
          <w:color w:val="000000" w:themeColor="text1"/>
          <w:sz w:val="24"/>
          <w:szCs w:val="24"/>
        </w:rPr>
      </w:pPr>
      <w:bookmarkStart w:id="5" w:name="_Toc55394583"/>
      <w:r w:rsidRPr="00153FBD">
        <w:rPr>
          <w:rFonts w:ascii="Palatino Linotype" w:hAnsi="Palatino Linotype"/>
          <w:b/>
          <w:bCs/>
          <w:iCs/>
          <w:color w:val="000000" w:themeColor="text1"/>
          <w:sz w:val="24"/>
          <w:szCs w:val="24"/>
        </w:rPr>
        <w:t xml:space="preserve">The </w:t>
      </w:r>
      <w:r w:rsidR="0056653D" w:rsidRPr="00153FBD">
        <w:rPr>
          <w:rFonts w:ascii="Palatino Linotype" w:hAnsi="Palatino Linotype"/>
          <w:b/>
          <w:bCs/>
          <w:iCs/>
          <w:color w:val="000000" w:themeColor="text1"/>
          <w:sz w:val="24"/>
          <w:szCs w:val="24"/>
        </w:rPr>
        <w:t>European Union</w:t>
      </w:r>
      <w:bookmarkEnd w:id="5"/>
    </w:p>
    <w:p w14:paraId="2458FE77" w14:textId="62274E46" w:rsidR="0056653D" w:rsidRPr="006E5767" w:rsidRDefault="0056653D" w:rsidP="005538D1">
      <w:pPr>
        <w:spacing w:line="360" w:lineRule="auto"/>
        <w:ind w:firstLine="720"/>
        <w:jc w:val="both"/>
        <w:rPr>
          <w:rFonts w:ascii="Palatino Linotype" w:hAnsi="Palatino Linotype"/>
          <w:i/>
          <w:szCs w:val="24"/>
        </w:rPr>
      </w:pPr>
      <w:r>
        <w:rPr>
          <w:rFonts w:ascii="Palatino Linotype" w:hAnsi="Palatino Linotype"/>
          <w:szCs w:val="24"/>
        </w:rPr>
        <w:t>T</w:t>
      </w:r>
      <w:r w:rsidRPr="001E199C">
        <w:rPr>
          <w:rFonts w:ascii="Palatino Linotype" w:hAnsi="Palatino Linotype"/>
          <w:szCs w:val="24"/>
        </w:rPr>
        <w:t>he European Union instituted</w:t>
      </w:r>
      <w:r>
        <w:rPr>
          <w:rFonts w:ascii="Palatino Linotype" w:hAnsi="Palatino Linotype"/>
          <w:szCs w:val="24"/>
        </w:rPr>
        <w:t xml:space="preserve"> the world’s first major carbon market and</w:t>
      </w:r>
      <w:r w:rsidRPr="001E199C">
        <w:rPr>
          <w:rFonts w:ascii="Palatino Linotype" w:hAnsi="Palatino Linotype"/>
          <w:szCs w:val="24"/>
        </w:rPr>
        <w:t xml:space="preserve"> cap-and-trade system in 2005</w:t>
      </w:r>
      <w:r>
        <w:rPr>
          <w:rFonts w:ascii="Palatino Linotype" w:hAnsi="Palatino Linotype"/>
          <w:szCs w:val="24"/>
        </w:rPr>
        <w:t xml:space="preserve">, called the </w:t>
      </w:r>
      <w:r w:rsidRPr="001E199C">
        <w:rPr>
          <w:rFonts w:ascii="Palatino Linotype" w:hAnsi="Palatino Linotype"/>
          <w:szCs w:val="24"/>
        </w:rPr>
        <w:t>EU Emissions Trading System (EU ET</w:t>
      </w:r>
      <w:r w:rsidRPr="00261856">
        <w:rPr>
          <w:rFonts w:ascii="Palatino Linotype" w:hAnsi="Palatino Linotype"/>
          <w:szCs w:val="24"/>
        </w:rPr>
        <w:t>S).</w:t>
      </w:r>
      <w:r w:rsidR="00A813E7">
        <w:rPr>
          <w:rStyle w:val="FootnoteReference"/>
          <w:rFonts w:ascii="Palatino Linotype" w:hAnsi="Palatino Linotype"/>
          <w:szCs w:val="24"/>
        </w:rPr>
        <w:footnoteReference w:customMarkFollows="1" w:id="9"/>
        <w:t>8</w:t>
      </w:r>
      <w:r w:rsidRPr="001E199C">
        <w:rPr>
          <w:rFonts w:ascii="Palatino Linotype" w:hAnsi="Palatino Linotype"/>
          <w:szCs w:val="24"/>
        </w:rPr>
        <w:t xml:space="preserve"> </w:t>
      </w:r>
      <w:r>
        <w:rPr>
          <w:rFonts w:ascii="Palatino Linotype" w:hAnsi="Palatino Linotype"/>
          <w:szCs w:val="24"/>
        </w:rPr>
        <w:t xml:space="preserve">As of today, 31 countries in the European Economic Area (EEA) are subject to emissions caps, </w:t>
      </w:r>
      <w:r w:rsidRPr="0041568F">
        <w:rPr>
          <w:rFonts w:ascii="Palatino Linotype" w:hAnsi="Palatino Linotype"/>
          <w:szCs w:val="24"/>
        </w:rPr>
        <w:t>but each country is granted a different quantity of emissions allowances.</w:t>
      </w:r>
      <w:r w:rsidR="00A813E7">
        <w:rPr>
          <w:rStyle w:val="FootnoteReference"/>
          <w:rFonts w:ascii="Palatino Linotype" w:hAnsi="Palatino Linotype"/>
          <w:szCs w:val="24"/>
        </w:rPr>
        <w:footnoteReference w:customMarkFollows="1" w:id="10"/>
        <w:t>9</w:t>
      </w:r>
      <w:r w:rsidRPr="0041568F">
        <w:rPr>
          <w:rFonts w:ascii="Palatino Linotype" w:hAnsi="Palatino Linotype"/>
          <w:szCs w:val="24"/>
        </w:rPr>
        <w:t xml:space="preserve"> Under the EU ETS, </w:t>
      </w:r>
      <w:r w:rsidRPr="0041568F">
        <w:rPr>
          <w:rFonts w:ascii="Palatino Linotype" w:hAnsi="Palatino Linotype" w:cs="Arial"/>
          <w:szCs w:val="24"/>
          <w:shd w:val="clear" w:color="auto" w:fill="FFFFFF"/>
        </w:rPr>
        <w:t>companies </w:t>
      </w:r>
      <w:r w:rsidRPr="0041568F">
        <w:rPr>
          <w:rFonts w:ascii="Palatino Linotype" w:hAnsi="Palatino Linotype" w:cs="Arial"/>
          <w:szCs w:val="24"/>
          <w:shd w:val="clear" w:color="auto" w:fill="FFFFFF"/>
          <w:lang w:val="en"/>
        </w:rPr>
        <w:t>receive</w:t>
      </w:r>
      <w:r w:rsidRPr="0041568F">
        <w:rPr>
          <w:rFonts w:ascii="Palatino Linotype" w:hAnsi="Palatino Linotype" w:cs="Arial"/>
          <w:szCs w:val="24"/>
          <w:shd w:val="clear" w:color="auto" w:fill="FFFFFF"/>
        </w:rPr>
        <w:t> or </w:t>
      </w:r>
      <w:r w:rsidRPr="0041568F">
        <w:rPr>
          <w:rFonts w:ascii="Palatino Linotype" w:hAnsi="Palatino Linotype" w:cs="Arial"/>
          <w:szCs w:val="24"/>
          <w:shd w:val="clear" w:color="auto" w:fill="FFFFFF"/>
          <w:lang w:val="en"/>
        </w:rPr>
        <w:t>buy</w:t>
      </w:r>
      <w:r w:rsidRPr="0041568F">
        <w:rPr>
          <w:rFonts w:ascii="Palatino Linotype" w:hAnsi="Palatino Linotype" w:cs="Arial"/>
          <w:szCs w:val="24"/>
          <w:shd w:val="clear" w:color="auto" w:fill="FFFFFF"/>
        </w:rPr>
        <w:t> emission allowances </w:t>
      </w:r>
      <w:r w:rsidR="00CC6A95">
        <w:rPr>
          <w:rFonts w:ascii="Palatino Linotype" w:hAnsi="Palatino Linotype" w:cs="Arial"/>
          <w:szCs w:val="24"/>
          <w:shd w:val="clear" w:color="auto" w:fill="FFFFFF"/>
        </w:rPr>
        <w:t>that</w:t>
      </w:r>
      <w:r w:rsidR="00CC6A95" w:rsidRPr="0041568F">
        <w:rPr>
          <w:rFonts w:ascii="Palatino Linotype" w:hAnsi="Palatino Linotype" w:cs="Arial"/>
          <w:szCs w:val="24"/>
          <w:shd w:val="clear" w:color="auto" w:fill="FFFFFF"/>
        </w:rPr>
        <w:t xml:space="preserve"> </w:t>
      </w:r>
      <w:r w:rsidRPr="0041568F">
        <w:rPr>
          <w:rFonts w:ascii="Palatino Linotype" w:hAnsi="Palatino Linotype" w:cs="Arial"/>
          <w:szCs w:val="24"/>
          <w:shd w:val="clear" w:color="auto" w:fill="FFFFFF"/>
        </w:rPr>
        <w:t xml:space="preserve">they can trade with one another as needed. </w:t>
      </w:r>
      <w:r w:rsidRPr="006623BD">
        <w:rPr>
          <w:rFonts w:ascii="Palatino Linotype" w:hAnsi="Palatino Linotype" w:cs="Arial"/>
          <w:szCs w:val="24"/>
          <w:shd w:val="clear" w:color="auto" w:fill="FFFFFF"/>
        </w:rPr>
        <w:t>They can also buy limited amounts of </w:t>
      </w:r>
      <w:r w:rsidRPr="006623BD">
        <w:rPr>
          <w:rFonts w:ascii="Palatino Linotype" w:hAnsi="Palatino Linotype" w:cs="Arial"/>
          <w:szCs w:val="24"/>
          <w:shd w:val="clear" w:color="auto" w:fill="FFFFFF"/>
          <w:lang w:val="en"/>
        </w:rPr>
        <w:t>international credits</w:t>
      </w:r>
      <w:r w:rsidRPr="006623BD">
        <w:rPr>
          <w:rFonts w:ascii="Palatino Linotype" w:hAnsi="Palatino Linotype" w:cs="Arial"/>
          <w:szCs w:val="24"/>
          <w:shd w:val="clear" w:color="auto" w:fill="FFFFFF"/>
        </w:rPr>
        <w:t xml:space="preserve"> from emission-saving projects around the world. Emission-saving projects include carbon-capture systems and other mechanisms </w:t>
      </w:r>
      <w:r w:rsidR="00CC6A95">
        <w:rPr>
          <w:rFonts w:ascii="Palatino Linotype" w:hAnsi="Palatino Linotype" w:cs="Arial"/>
          <w:szCs w:val="24"/>
          <w:shd w:val="clear" w:color="auto" w:fill="FFFFFF"/>
        </w:rPr>
        <w:t>that</w:t>
      </w:r>
      <w:r w:rsidR="00CC6A95" w:rsidRPr="006623BD">
        <w:rPr>
          <w:rFonts w:ascii="Palatino Linotype" w:hAnsi="Palatino Linotype" w:cs="Arial"/>
          <w:szCs w:val="24"/>
          <w:shd w:val="clear" w:color="auto" w:fill="FFFFFF"/>
        </w:rPr>
        <w:t xml:space="preserve"> </w:t>
      </w:r>
      <w:r w:rsidRPr="006623BD">
        <w:rPr>
          <w:rFonts w:ascii="Palatino Linotype" w:hAnsi="Palatino Linotype" w:cs="Arial"/>
          <w:szCs w:val="24"/>
          <w:shd w:val="clear" w:color="auto" w:fill="FFFFFF"/>
        </w:rPr>
        <w:t xml:space="preserve">remove carbon emissions from the atmosphere. </w:t>
      </w:r>
    </w:p>
    <w:p w14:paraId="0526D767" w14:textId="507D6E15" w:rsidR="0056653D" w:rsidRDefault="0056653D" w:rsidP="005538D1">
      <w:pPr>
        <w:spacing w:before="100" w:beforeAutospacing="1" w:after="100" w:afterAutospacing="1" w:line="360" w:lineRule="auto"/>
        <w:ind w:left="-150" w:firstLine="870"/>
        <w:jc w:val="both"/>
        <w:rPr>
          <w:rFonts w:ascii="Palatino Linotype" w:hAnsi="Palatino Linotype" w:cs="Arial"/>
          <w:szCs w:val="24"/>
        </w:rPr>
      </w:pPr>
      <w:r w:rsidRPr="006623BD">
        <w:rPr>
          <w:rFonts w:ascii="Palatino Linotype" w:hAnsi="Palatino Linotype" w:cs="Arial"/>
          <w:szCs w:val="24"/>
          <w:shd w:val="clear" w:color="auto" w:fill="FFFFFF"/>
        </w:rPr>
        <w:t xml:space="preserve">The EU ETS regulates </w:t>
      </w:r>
      <w:r w:rsidRPr="006623BD">
        <w:rPr>
          <w:rFonts w:ascii="Palatino Linotype" w:hAnsi="Palatino Linotype" w:cs="Arial"/>
          <w:szCs w:val="24"/>
        </w:rPr>
        <w:t xml:space="preserve">carbon dioxide </w:t>
      </w:r>
      <w:r w:rsidR="009F2219">
        <w:rPr>
          <w:rFonts w:ascii="Palatino Linotype" w:hAnsi="Palatino Linotype" w:cs="Arial"/>
          <w:szCs w:val="24"/>
        </w:rPr>
        <w:t>(CO2)</w:t>
      </w:r>
      <w:r w:rsidRPr="006623BD">
        <w:rPr>
          <w:rFonts w:ascii="Palatino Linotype" w:hAnsi="Palatino Linotype" w:cs="Arial"/>
          <w:szCs w:val="24"/>
        </w:rPr>
        <w:t xml:space="preserve"> emissions from </w:t>
      </w:r>
      <w:r w:rsidRPr="00F659A2">
        <w:rPr>
          <w:rFonts w:ascii="Palatino Linotype" w:hAnsi="Palatino Linotype" w:cs="Arial"/>
          <w:szCs w:val="24"/>
        </w:rPr>
        <w:t>power and heat generation</w:t>
      </w:r>
      <w:r w:rsidRPr="006623BD">
        <w:rPr>
          <w:rFonts w:ascii="Palatino Linotype" w:hAnsi="Palatino Linotype" w:cs="Arial"/>
          <w:szCs w:val="24"/>
        </w:rPr>
        <w:t xml:space="preserve">, </w:t>
      </w:r>
      <w:r w:rsidRPr="00F659A2">
        <w:rPr>
          <w:rFonts w:ascii="Palatino Linotype" w:hAnsi="Palatino Linotype" w:cs="Arial"/>
          <w:szCs w:val="24"/>
        </w:rPr>
        <w:t xml:space="preserve">energy-intensive industry sectors including oil refineries, steelworks and </w:t>
      </w:r>
      <w:r w:rsidR="002D7404">
        <w:rPr>
          <w:rFonts w:ascii="Palatino Linotype" w:hAnsi="Palatino Linotype" w:cs="Arial"/>
          <w:szCs w:val="24"/>
        </w:rPr>
        <w:t xml:space="preserve">the </w:t>
      </w:r>
      <w:r w:rsidRPr="00F659A2">
        <w:rPr>
          <w:rFonts w:ascii="Palatino Linotype" w:hAnsi="Palatino Linotype" w:cs="Arial"/>
          <w:szCs w:val="24"/>
        </w:rPr>
        <w:t xml:space="preserve">production of iron, </w:t>
      </w:r>
      <w:r w:rsidRPr="006623BD">
        <w:rPr>
          <w:rFonts w:ascii="Palatino Linotype" w:hAnsi="Palatino Linotype" w:cs="Arial"/>
          <w:szCs w:val="24"/>
        </w:rPr>
        <w:t>aluminum</w:t>
      </w:r>
      <w:r w:rsidRPr="00F659A2">
        <w:rPr>
          <w:rFonts w:ascii="Palatino Linotype" w:hAnsi="Palatino Linotype" w:cs="Arial"/>
          <w:szCs w:val="24"/>
        </w:rPr>
        <w:t>, metals, cement, lime, glass, ceramics, pulp, paper, cardboard, acids and bulk organic chemicals</w:t>
      </w:r>
      <w:r w:rsidRPr="006623BD">
        <w:rPr>
          <w:rFonts w:ascii="Palatino Linotype" w:hAnsi="Palatino Linotype" w:cs="Arial"/>
          <w:szCs w:val="24"/>
        </w:rPr>
        <w:t xml:space="preserve">, </w:t>
      </w:r>
      <w:r w:rsidRPr="00F659A2">
        <w:rPr>
          <w:rFonts w:ascii="Palatino Linotype" w:hAnsi="Palatino Linotype" w:cs="Arial"/>
          <w:szCs w:val="24"/>
        </w:rPr>
        <w:t>commercial aviation</w:t>
      </w:r>
      <w:r w:rsidRPr="006623BD">
        <w:rPr>
          <w:rFonts w:ascii="Palatino Linotype" w:hAnsi="Palatino Linotype" w:cs="Arial"/>
          <w:szCs w:val="24"/>
        </w:rPr>
        <w:t xml:space="preserve">, </w:t>
      </w:r>
      <w:r w:rsidRPr="00F659A2">
        <w:rPr>
          <w:rFonts w:ascii="Palatino Linotype" w:hAnsi="Palatino Linotype" w:cs="Arial"/>
          <w:szCs w:val="24"/>
        </w:rPr>
        <w:t xml:space="preserve">nitrous oxide </w:t>
      </w:r>
      <w:r w:rsidR="009F2219">
        <w:rPr>
          <w:rFonts w:ascii="Palatino Linotype" w:hAnsi="Palatino Linotype" w:cs="Arial"/>
          <w:szCs w:val="24"/>
        </w:rPr>
        <w:t>(N2O)</w:t>
      </w:r>
      <w:r w:rsidRPr="00F659A2">
        <w:rPr>
          <w:rFonts w:ascii="Palatino Linotype" w:hAnsi="Palatino Linotype" w:cs="Arial"/>
          <w:szCs w:val="24"/>
        </w:rPr>
        <w:t xml:space="preserve"> from </w:t>
      </w:r>
      <w:r w:rsidR="00D6634E">
        <w:rPr>
          <w:rFonts w:ascii="Palatino Linotype" w:hAnsi="Palatino Linotype" w:cs="Arial"/>
          <w:szCs w:val="24"/>
        </w:rPr>
        <w:t xml:space="preserve">the </w:t>
      </w:r>
      <w:r w:rsidRPr="00F659A2">
        <w:rPr>
          <w:rFonts w:ascii="Palatino Linotype" w:hAnsi="Palatino Linotype" w:cs="Arial"/>
          <w:szCs w:val="24"/>
        </w:rPr>
        <w:t>production of nitric, adipic</w:t>
      </w:r>
      <w:r w:rsidR="00CC6A95">
        <w:rPr>
          <w:rFonts w:ascii="Palatino Linotype" w:hAnsi="Palatino Linotype" w:cs="Arial"/>
          <w:szCs w:val="24"/>
        </w:rPr>
        <w:t>,</w:t>
      </w:r>
      <w:r w:rsidRPr="00F659A2">
        <w:rPr>
          <w:rFonts w:ascii="Palatino Linotype" w:hAnsi="Palatino Linotype" w:cs="Arial"/>
          <w:szCs w:val="24"/>
        </w:rPr>
        <w:t xml:space="preserve"> and glyoxylic acids</w:t>
      </w:r>
      <w:r w:rsidR="00CC6A95">
        <w:rPr>
          <w:rFonts w:ascii="Palatino Linotype" w:hAnsi="Palatino Linotype" w:cs="Arial"/>
          <w:szCs w:val="24"/>
        </w:rPr>
        <w:t>,</w:t>
      </w:r>
      <w:r w:rsidRPr="00F659A2">
        <w:rPr>
          <w:rFonts w:ascii="Palatino Linotype" w:hAnsi="Palatino Linotype" w:cs="Arial"/>
          <w:szCs w:val="24"/>
        </w:rPr>
        <w:t xml:space="preserve"> and glyoxal</w:t>
      </w:r>
      <w:r w:rsidRPr="006623BD">
        <w:rPr>
          <w:rFonts w:ascii="Palatino Linotype" w:hAnsi="Palatino Linotype" w:cs="Arial"/>
          <w:szCs w:val="24"/>
        </w:rPr>
        <w:t xml:space="preserve">, </w:t>
      </w:r>
      <w:r w:rsidRPr="00F659A2">
        <w:rPr>
          <w:rFonts w:ascii="Palatino Linotype" w:hAnsi="Palatino Linotype" w:cs="Arial"/>
          <w:szCs w:val="24"/>
        </w:rPr>
        <w:t xml:space="preserve">perfluorocarbons (PFCs) from </w:t>
      </w:r>
      <w:r w:rsidRPr="006623BD">
        <w:rPr>
          <w:rFonts w:ascii="Palatino Linotype" w:hAnsi="Palatino Linotype" w:cs="Arial"/>
          <w:szCs w:val="24"/>
        </w:rPr>
        <w:t>aluminum</w:t>
      </w:r>
      <w:r w:rsidRPr="00F659A2">
        <w:rPr>
          <w:rFonts w:ascii="Palatino Linotype" w:hAnsi="Palatino Linotype" w:cs="Arial"/>
          <w:szCs w:val="24"/>
        </w:rPr>
        <w:t xml:space="preserve"> production</w:t>
      </w:r>
      <w:r>
        <w:rPr>
          <w:rFonts w:ascii="Palatino Linotype" w:hAnsi="Palatino Linotype" w:cs="Arial"/>
          <w:szCs w:val="24"/>
        </w:rPr>
        <w:t>.</w:t>
      </w:r>
      <w:r w:rsidR="00FE3C17">
        <w:rPr>
          <w:rStyle w:val="FootnoteReference"/>
          <w:rFonts w:ascii="Palatino Linotype" w:hAnsi="Palatino Linotype" w:cs="Arial"/>
          <w:szCs w:val="24"/>
        </w:rPr>
        <w:footnoteReference w:customMarkFollows="1" w:id="11"/>
        <w:t>10</w:t>
      </w:r>
      <w:r>
        <w:rPr>
          <w:rFonts w:ascii="Palatino Linotype" w:hAnsi="Palatino Linotype" w:cs="Arial"/>
          <w:szCs w:val="24"/>
        </w:rPr>
        <w:t xml:space="preserve"> </w:t>
      </w:r>
    </w:p>
    <w:p w14:paraId="31736888" w14:textId="29432AFA" w:rsidR="002E4C24" w:rsidRDefault="0056653D" w:rsidP="005538D1">
      <w:pPr>
        <w:spacing w:before="100" w:beforeAutospacing="1" w:after="100" w:afterAutospacing="1" w:line="360" w:lineRule="auto"/>
        <w:ind w:firstLine="720"/>
        <w:jc w:val="both"/>
        <w:rPr>
          <w:rFonts w:ascii="Palatino Linotype" w:hAnsi="Palatino Linotype" w:cs="Arial"/>
          <w:szCs w:val="24"/>
        </w:rPr>
      </w:pPr>
      <w:r>
        <w:rPr>
          <w:rFonts w:ascii="Palatino Linotype" w:hAnsi="Palatino Linotype" w:cs="Arial"/>
          <w:szCs w:val="24"/>
        </w:rPr>
        <w:lastRenderedPageBreak/>
        <w:t xml:space="preserve">The environmental impact from EU ETS has been studied in detail by the EU and </w:t>
      </w:r>
      <w:r w:rsidR="00253999">
        <w:rPr>
          <w:rFonts w:ascii="Palatino Linotype" w:hAnsi="Palatino Linotype" w:cs="Arial"/>
          <w:szCs w:val="24"/>
        </w:rPr>
        <w:t>independent</w:t>
      </w:r>
      <w:r>
        <w:rPr>
          <w:rFonts w:ascii="Palatino Linotype" w:hAnsi="Palatino Linotype" w:cs="Arial"/>
          <w:szCs w:val="24"/>
        </w:rPr>
        <w:t xml:space="preserve"> </w:t>
      </w:r>
      <w:r w:rsidR="00D12C51">
        <w:rPr>
          <w:rFonts w:ascii="Palatino Linotype" w:hAnsi="Palatino Linotype" w:cs="Arial"/>
          <w:szCs w:val="24"/>
        </w:rPr>
        <w:t>institutions</w:t>
      </w:r>
      <w:r>
        <w:rPr>
          <w:rFonts w:ascii="Palatino Linotype" w:hAnsi="Palatino Linotype" w:cs="Arial"/>
          <w:szCs w:val="24"/>
        </w:rPr>
        <w:t>.</w:t>
      </w:r>
      <w:r w:rsidR="00FE3C17">
        <w:rPr>
          <w:rStyle w:val="FootnoteReference"/>
          <w:rFonts w:ascii="Palatino Linotype" w:hAnsi="Palatino Linotype" w:cs="Arial"/>
          <w:szCs w:val="24"/>
        </w:rPr>
        <w:footnoteReference w:customMarkFollows="1" w:id="12"/>
        <w:t>11</w:t>
      </w:r>
      <w:r>
        <w:rPr>
          <w:rFonts w:ascii="Palatino Linotype" w:hAnsi="Palatino Linotype" w:cs="Arial"/>
          <w:szCs w:val="24"/>
        </w:rPr>
        <w:t xml:space="preserve"> According to most recent estimates, total carbon emissions increased, not decreased in the countries regulated by the system during the initial years the cap-and-trade system was implemented (2005-2007). </w:t>
      </w:r>
      <w:r w:rsidR="00681131">
        <w:rPr>
          <w:rFonts w:ascii="Palatino Linotype" w:hAnsi="Palatino Linotype" w:cs="Arial"/>
          <w:szCs w:val="24"/>
        </w:rPr>
        <w:t>T</w:t>
      </w:r>
      <w:r>
        <w:rPr>
          <w:rFonts w:ascii="Palatino Linotype" w:hAnsi="Palatino Linotype" w:cs="Arial"/>
          <w:szCs w:val="24"/>
        </w:rPr>
        <w:t xml:space="preserve">he EU was reluctant to stymie economic growth, especially in countries struggling in the aftermath of the 2008 global recession. </w:t>
      </w:r>
    </w:p>
    <w:p w14:paraId="3E22386D" w14:textId="049991B8" w:rsidR="0056653D" w:rsidRPr="00BF236D" w:rsidRDefault="0056653D" w:rsidP="005538D1">
      <w:pPr>
        <w:spacing w:before="100" w:beforeAutospacing="1" w:after="100" w:afterAutospacing="1" w:line="360" w:lineRule="auto"/>
        <w:ind w:firstLine="720"/>
        <w:jc w:val="both"/>
        <w:rPr>
          <w:rFonts w:ascii="Palatino Linotype" w:hAnsi="Palatino Linotype" w:cs="Arial"/>
          <w:szCs w:val="24"/>
        </w:rPr>
      </w:pPr>
      <w:r>
        <w:rPr>
          <w:rFonts w:ascii="Palatino Linotype" w:hAnsi="Palatino Linotype" w:cs="Arial"/>
          <w:szCs w:val="24"/>
        </w:rPr>
        <w:t xml:space="preserve">To assist these countries in their recoveries, the EU increased the quantity of emissions allotments permitted under the cap to keep the price of carbon-producing </w:t>
      </w:r>
      <w:r w:rsidR="002E4C24">
        <w:rPr>
          <w:rFonts w:ascii="Palatino Linotype" w:hAnsi="Palatino Linotype" w:cs="Arial"/>
          <w:szCs w:val="24"/>
        </w:rPr>
        <w:t>go</w:t>
      </w:r>
      <w:r w:rsidR="006B46B4">
        <w:rPr>
          <w:rFonts w:ascii="Palatino Linotype" w:hAnsi="Palatino Linotype" w:cs="Arial"/>
          <w:szCs w:val="24"/>
        </w:rPr>
        <w:t>o</w:t>
      </w:r>
      <w:r w:rsidR="002E4C24">
        <w:rPr>
          <w:rFonts w:ascii="Palatino Linotype" w:hAnsi="Palatino Linotype" w:cs="Arial"/>
          <w:szCs w:val="24"/>
        </w:rPr>
        <w:t>d</w:t>
      </w:r>
      <w:r w:rsidR="006B46B4">
        <w:rPr>
          <w:rFonts w:ascii="Palatino Linotype" w:hAnsi="Palatino Linotype" w:cs="Arial"/>
          <w:szCs w:val="24"/>
        </w:rPr>
        <w:t>s</w:t>
      </w:r>
      <w:r w:rsidR="002E4C24">
        <w:rPr>
          <w:rFonts w:ascii="Palatino Linotype" w:hAnsi="Palatino Linotype" w:cs="Arial"/>
          <w:szCs w:val="24"/>
        </w:rPr>
        <w:t xml:space="preserve"> and services</w:t>
      </w:r>
      <w:r>
        <w:rPr>
          <w:rFonts w:ascii="Palatino Linotype" w:hAnsi="Palatino Linotype" w:cs="Arial"/>
          <w:szCs w:val="24"/>
        </w:rPr>
        <w:t xml:space="preserve"> low. The market price of carbon under EU ETS reached a record-low of €0.03 in 2007 and did not begin to rise until the </w:t>
      </w:r>
      <w:r w:rsidRPr="00BF236D">
        <w:rPr>
          <w:rFonts w:ascii="Palatino Linotype" w:hAnsi="Palatino Linotype" w:cs="Arial"/>
          <w:szCs w:val="24"/>
        </w:rPr>
        <w:t>EU transitioned ETS from its “Pilot Phase” to “Phase I” in 2008.</w:t>
      </w:r>
      <w:r w:rsidR="00FE3C17">
        <w:rPr>
          <w:rStyle w:val="FootnoteReference"/>
          <w:rFonts w:ascii="Palatino Linotype" w:hAnsi="Palatino Linotype" w:cs="Arial"/>
          <w:szCs w:val="24"/>
        </w:rPr>
        <w:footnoteReference w:customMarkFollows="1" w:id="13"/>
        <w:t>12</w:t>
      </w:r>
      <w:r w:rsidRPr="00BF236D">
        <w:rPr>
          <w:rFonts w:ascii="Palatino Linotype" w:hAnsi="Palatino Linotype" w:cs="Arial"/>
          <w:szCs w:val="24"/>
        </w:rPr>
        <w:t xml:space="preserve"> </w:t>
      </w:r>
    </w:p>
    <w:p w14:paraId="41DB754E" w14:textId="2D8BEEF4" w:rsidR="0056653D" w:rsidRPr="0057523B" w:rsidRDefault="0056653D" w:rsidP="005538D1">
      <w:pPr>
        <w:spacing w:before="100" w:beforeAutospacing="1" w:after="100" w:afterAutospacing="1" w:line="360" w:lineRule="auto"/>
        <w:ind w:firstLine="720"/>
        <w:jc w:val="both"/>
        <w:rPr>
          <w:rFonts w:ascii="Palatino Linotype" w:hAnsi="Palatino Linotype"/>
          <w:szCs w:val="24"/>
        </w:rPr>
      </w:pPr>
      <w:r w:rsidRPr="00BF236D">
        <w:rPr>
          <w:rFonts w:ascii="Palatino Linotype" w:hAnsi="Palatino Linotype" w:cs="Arial"/>
          <w:szCs w:val="24"/>
        </w:rPr>
        <w:t xml:space="preserve">Phase I </w:t>
      </w:r>
      <w:r w:rsidR="002E4C24">
        <w:rPr>
          <w:rFonts w:ascii="Palatino Linotype" w:hAnsi="Palatino Linotype" w:cs="Arial"/>
          <w:szCs w:val="24"/>
        </w:rPr>
        <w:t xml:space="preserve">largely </w:t>
      </w:r>
      <w:r w:rsidRPr="00BF236D">
        <w:rPr>
          <w:rFonts w:ascii="Palatino Linotype" w:hAnsi="Palatino Linotype" w:cs="Arial"/>
          <w:szCs w:val="24"/>
        </w:rPr>
        <w:t>resolved the issues with reducing emissions from the Pilot Phase. Researche</w:t>
      </w:r>
      <w:r w:rsidR="009B55D6">
        <w:rPr>
          <w:rFonts w:ascii="Palatino Linotype" w:hAnsi="Palatino Linotype" w:cs="Arial"/>
          <w:szCs w:val="24"/>
        </w:rPr>
        <w:t>r</w:t>
      </w:r>
      <w:r w:rsidRPr="00BF236D">
        <w:rPr>
          <w:rFonts w:ascii="Palatino Linotype" w:hAnsi="Palatino Linotype" w:cs="Arial"/>
          <w:szCs w:val="24"/>
        </w:rPr>
        <w:t>s at Imperial College in London, UK concluded that</w:t>
      </w:r>
      <w:r w:rsidRPr="00BF236D">
        <w:rPr>
          <w:rFonts w:ascii="Palatino Linotype" w:hAnsi="Palatino Linotype"/>
          <w:szCs w:val="24"/>
        </w:rPr>
        <w:t xml:space="preserve"> EU ETS led to an estimated </w:t>
      </w:r>
      <w:r w:rsidR="008D7C3B" w:rsidRPr="00BF236D">
        <w:rPr>
          <w:rFonts w:ascii="Palatino Linotype" w:hAnsi="Palatino Linotype"/>
          <w:szCs w:val="24"/>
        </w:rPr>
        <w:t>100-200-million-ton</w:t>
      </w:r>
      <w:r w:rsidRPr="00BF236D">
        <w:rPr>
          <w:rFonts w:ascii="Palatino Linotype" w:hAnsi="Palatino Linotype"/>
          <w:szCs w:val="24"/>
        </w:rPr>
        <w:t xml:space="preserve"> reduction (2.4-4.7% reduction) in CO2 emissions during the first two years of Phase I alone.</w:t>
      </w:r>
      <w:r w:rsidR="00FE3C17">
        <w:rPr>
          <w:rStyle w:val="FootnoteReference"/>
          <w:rFonts w:ascii="Palatino Linotype" w:hAnsi="Palatino Linotype"/>
          <w:szCs w:val="24"/>
        </w:rPr>
        <w:footnoteReference w:customMarkFollows="1" w:id="14"/>
        <w:t>13</w:t>
      </w:r>
      <w:r w:rsidRPr="00BF236D">
        <w:rPr>
          <w:rFonts w:ascii="Palatino Linotype" w:hAnsi="Palatino Linotype"/>
          <w:szCs w:val="24"/>
        </w:rPr>
        <w:t xml:space="preserve"> </w:t>
      </w:r>
      <w:r>
        <w:rPr>
          <w:rFonts w:ascii="Palatino Linotype" w:hAnsi="Palatino Linotype"/>
          <w:szCs w:val="24"/>
        </w:rPr>
        <w:t>From the beginning of the EU ETS to 2015, revenue collected from the auctioning of allowances total</w:t>
      </w:r>
      <w:r w:rsidR="008B4DF4">
        <w:rPr>
          <w:rFonts w:ascii="Palatino Linotype" w:hAnsi="Palatino Linotype"/>
          <w:szCs w:val="24"/>
        </w:rPr>
        <w:t>ed</w:t>
      </w:r>
      <w:r>
        <w:rPr>
          <w:rFonts w:ascii="Palatino Linotype" w:hAnsi="Palatino Linotype"/>
          <w:szCs w:val="24"/>
        </w:rPr>
        <w:t xml:space="preserve"> €4.9</w:t>
      </w:r>
      <w:r w:rsidR="00681131">
        <w:rPr>
          <w:rFonts w:ascii="Palatino Linotype" w:hAnsi="Palatino Linotype"/>
          <w:szCs w:val="24"/>
        </w:rPr>
        <w:t xml:space="preserve"> billion</w:t>
      </w:r>
      <w:r>
        <w:rPr>
          <w:rFonts w:ascii="Palatino Linotype" w:hAnsi="Palatino Linotype"/>
          <w:szCs w:val="24"/>
        </w:rPr>
        <w:t xml:space="preserve">. </w:t>
      </w:r>
    </w:p>
    <w:p w14:paraId="1B3004A9" w14:textId="77777777" w:rsidR="0056653D" w:rsidRPr="00153FBD" w:rsidRDefault="0056653D" w:rsidP="007F411F">
      <w:pPr>
        <w:pStyle w:val="Heading2"/>
        <w:rPr>
          <w:rStyle w:val="Hyperlink"/>
          <w:rFonts w:ascii="Palatino Linotype" w:hAnsi="Palatino Linotype"/>
          <w:b/>
          <w:bCs/>
          <w:color w:val="000000" w:themeColor="text1"/>
          <w:sz w:val="24"/>
          <w:szCs w:val="24"/>
          <w:u w:val="none"/>
        </w:rPr>
      </w:pPr>
      <w:bookmarkStart w:id="6" w:name="_Toc55394584"/>
      <w:r w:rsidRPr="00153FBD">
        <w:rPr>
          <w:rStyle w:val="Hyperlink"/>
          <w:rFonts w:ascii="Palatino Linotype" w:hAnsi="Palatino Linotype"/>
          <w:b/>
          <w:bCs/>
          <w:color w:val="000000" w:themeColor="text1"/>
          <w:sz w:val="24"/>
          <w:szCs w:val="24"/>
          <w:u w:val="none"/>
        </w:rPr>
        <w:t>California</w:t>
      </w:r>
      <w:bookmarkEnd w:id="6"/>
      <w:r w:rsidRPr="00153FBD">
        <w:rPr>
          <w:rStyle w:val="Hyperlink"/>
          <w:rFonts w:ascii="Palatino Linotype" w:hAnsi="Palatino Linotype"/>
          <w:b/>
          <w:bCs/>
          <w:color w:val="000000" w:themeColor="text1"/>
          <w:sz w:val="24"/>
          <w:szCs w:val="24"/>
          <w:u w:val="none"/>
        </w:rPr>
        <w:t xml:space="preserve"> </w:t>
      </w:r>
    </w:p>
    <w:p w14:paraId="1C2F7A46" w14:textId="65B9C978" w:rsidR="0056653D" w:rsidRDefault="0056653D" w:rsidP="005538D1">
      <w:pPr>
        <w:spacing w:line="360" w:lineRule="auto"/>
        <w:jc w:val="both"/>
        <w:rPr>
          <w:rFonts w:ascii="Palatino Linotype" w:hAnsi="Palatino Linotype"/>
          <w:color w:val="2D333D"/>
          <w:szCs w:val="24"/>
          <w:shd w:val="clear" w:color="auto" w:fill="FFFFFF"/>
        </w:rPr>
      </w:pPr>
      <w:r w:rsidRPr="00B95619">
        <w:rPr>
          <w:rStyle w:val="Hyperlink"/>
          <w:rFonts w:ascii="Palatino Linotype" w:hAnsi="Palatino Linotype"/>
          <w:color w:val="000000" w:themeColor="text1"/>
          <w:szCs w:val="24"/>
          <w:u w:val="none"/>
        </w:rPr>
        <w:tab/>
        <w:t>California launched its cap-and-trade system in 2013.</w:t>
      </w:r>
      <w:r w:rsidR="00FE3C17">
        <w:rPr>
          <w:rStyle w:val="FootnoteReference"/>
          <w:rFonts w:ascii="Palatino Linotype" w:hAnsi="Palatino Linotype"/>
          <w:color w:val="000000" w:themeColor="text1"/>
          <w:szCs w:val="24"/>
        </w:rPr>
        <w:footnoteReference w:customMarkFollows="1" w:id="15"/>
        <w:t>14</w:t>
      </w:r>
      <w:r w:rsidRPr="00B95619">
        <w:rPr>
          <w:rStyle w:val="Hyperlink"/>
          <w:rFonts w:ascii="Palatino Linotype" w:hAnsi="Palatino Linotype"/>
          <w:color w:val="000000" w:themeColor="text1"/>
          <w:szCs w:val="24"/>
          <w:u w:val="none"/>
        </w:rPr>
        <w:t xml:space="preserve"> According to the Center for Climate and Energy Solutions, “</w:t>
      </w:r>
      <w:r w:rsidRPr="00FB6EF9">
        <w:rPr>
          <w:rFonts w:ascii="Palatino Linotype" w:hAnsi="Palatino Linotype"/>
          <w:szCs w:val="24"/>
          <w:shd w:val="clear" w:color="auto" w:fill="FFFFFF"/>
        </w:rPr>
        <w:t xml:space="preserve">The cap-and-trade rule applies to large electric power plants, large industrial plants, and fuel distributors (e.g., natural gas and petroleum). </w:t>
      </w:r>
      <w:r w:rsidRPr="00FB6EF9">
        <w:rPr>
          <w:rFonts w:ascii="Palatino Linotype" w:hAnsi="Palatino Linotype"/>
          <w:szCs w:val="24"/>
          <w:shd w:val="clear" w:color="auto" w:fill="FFFFFF"/>
        </w:rPr>
        <w:lastRenderedPageBreak/>
        <w:t>Around 450 businesses responsible for about 85 percent of California’s total greenhouse gas emissions must comply.</w:t>
      </w:r>
      <w:r w:rsidRPr="00EF1F97">
        <w:rPr>
          <w:rFonts w:ascii="Palatino Linotype" w:hAnsi="Palatino Linotype"/>
          <w:szCs w:val="24"/>
          <w:shd w:val="clear" w:color="auto" w:fill="FFFFFF"/>
        </w:rPr>
        <w:t>”</w:t>
      </w:r>
      <w:r w:rsidR="00EF1F97" w:rsidRPr="00EF1F97">
        <w:rPr>
          <w:rStyle w:val="Hyperlink"/>
          <w:rFonts w:ascii="Palatino Linotype" w:hAnsi="Palatino Linotype"/>
          <w:szCs w:val="24"/>
          <w:u w:val="none"/>
        </w:rPr>
        <w:t xml:space="preserve"> </w:t>
      </w:r>
      <w:r w:rsidRPr="00FB6EF9">
        <w:rPr>
          <w:rFonts w:ascii="Palatino Linotype" w:hAnsi="Palatino Linotype"/>
          <w:szCs w:val="24"/>
          <w:shd w:val="clear" w:color="auto" w:fill="FFFFFF"/>
        </w:rPr>
        <w:t xml:space="preserve">The California Air Resources Board (CARB) is the entity responsible for enforcing the cap. The cap-and-trade rules </w:t>
      </w:r>
      <w:r w:rsidR="00886047">
        <w:rPr>
          <w:rFonts w:ascii="Palatino Linotype" w:hAnsi="Palatino Linotype"/>
          <w:szCs w:val="24"/>
          <w:shd w:val="clear" w:color="auto" w:fill="FFFFFF"/>
        </w:rPr>
        <w:t xml:space="preserve">were </w:t>
      </w:r>
      <w:r w:rsidRPr="00FB6EF9">
        <w:rPr>
          <w:rFonts w:ascii="Palatino Linotype" w:hAnsi="Palatino Linotype"/>
          <w:szCs w:val="24"/>
          <w:shd w:val="clear" w:color="auto" w:fill="FFFFFF"/>
        </w:rPr>
        <w:t>first applied to electric power plants and industrial plants that emit</w:t>
      </w:r>
      <w:r>
        <w:rPr>
          <w:rFonts w:ascii="Palatino Linotype" w:hAnsi="Palatino Linotype"/>
          <w:szCs w:val="24"/>
          <w:shd w:val="clear" w:color="auto" w:fill="FFFFFF"/>
        </w:rPr>
        <w:t>ted</w:t>
      </w:r>
      <w:r w:rsidRPr="00FB6EF9">
        <w:rPr>
          <w:rFonts w:ascii="Palatino Linotype" w:hAnsi="Palatino Linotype"/>
          <w:szCs w:val="24"/>
          <w:shd w:val="clear" w:color="auto" w:fill="FFFFFF"/>
        </w:rPr>
        <w:t xml:space="preserve"> 25,000 tons of carbon dioxide </w:t>
      </w:r>
      <w:r w:rsidR="00B41D92">
        <w:rPr>
          <w:rFonts w:ascii="Palatino Linotype" w:hAnsi="Palatino Linotype"/>
          <w:szCs w:val="24"/>
          <w:shd w:val="clear" w:color="auto" w:fill="FFFFFF"/>
        </w:rPr>
        <w:t xml:space="preserve">or </w:t>
      </w:r>
      <w:r w:rsidRPr="00FB6EF9">
        <w:rPr>
          <w:rFonts w:ascii="Palatino Linotype" w:hAnsi="Palatino Linotype"/>
          <w:szCs w:val="24"/>
          <w:shd w:val="clear" w:color="auto" w:fill="FFFFFF"/>
        </w:rPr>
        <w:t xml:space="preserve">equivalent per </w:t>
      </w:r>
      <w:r w:rsidRPr="00C13CF9">
        <w:rPr>
          <w:rFonts w:ascii="Palatino Linotype" w:hAnsi="Palatino Linotype"/>
          <w:color w:val="000000" w:themeColor="text1"/>
          <w:szCs w:val="24"/>
          <w:shd w:val="clear" w:color="auto" w:fill="FFFFFF"/>
        </w:rPr>
        <w:t>year or more</w:t>
      </w:r>
      <w:r w:rsidR="008B4DF4">
        <w:rPr>
          <w:rFonts w:ascii="Palatino Linotype" w:hAnsi="Palatino Linotype"/>
          <w:color w:val="000000" w:themeColor="text1"/>
          <w:szCs w:val="24"/>
          <w:shd w:val="clear" w:color="auto" w:fill="FFFFFF"/>
        </w:rPr>
        <w:t>.</w:t>
      </w:r>
      <w:r w:rsidRPr="00C13CF9">
        <w:rPr>
          <w:rFonts w:ascii="Palatino Linotype" w:hAnsi="Palatino Linotype"/>
          <w:color w:val="000000" w:themeColor="text1"/>
          <w:szCs w:val="24"/>
          <w:shd w:val="clear" w:color="auto" w:fill="FFFFFF"/>
        </w:rPr>
        <w:t xml:space="preserve"> </w:t>
      </w:r>
      <w:r w:rsidR="008B4DF4">
        <w:rPr>
          <w:rFonts w:ascii="Palatino Linotype" w:hAnsi="Palatino Linotype"/>
          <w:color w:val="000000" w:themeColor="text1"/>
          <w:szCs w:val="24"/>
          <w:shd w:val="clear" w:color="auto" w:fill="FFFFFF"/>
        </w:rPr>
        <w:t>I</w:t>
      </w:r>
      <w:r w:rsidRPr="00C13CF9">
        <w:rPr>
          <w:rFonts w:ascii="Palatino Linotype" w:hAnsi="Palatino Linotype"/>
          <w:color w:val="000000" w:themeColor="text1"/>
          <w:szCs w:val="24"/>
          <w:shd w:val="clear" w:color="auto" w:fill="FFFFFF"/>
        </w:rPr>
        <w:t>n 2015</w:t>
      </w:r>
      <w:r w:rsidR="00B41D92">
        <w:rPr>
          <w:rFonts w:ascii="Palatino Linotype" w:hAnsi="Palatino Linotype"/>
          <w:color w:val="000000" w:themeColor="text1"/>
          <w:szCs w:val="24"/>
          <w:shd w:val="clear" w:color="auto" w:fill="FFFFFF"/>
        </w:rPr>
        <w:t>,</w:t>
      </w:r>
      <w:r w:rsidRPr="00C13CF9">
        <w:rPr>
          <w:rFonts w:ascii="Palatino Linotype" w:hAnsi="Palatino Linotype"/>
          <w:color w:val="000000" w:themeColor="text1"/>
          <w:szCs w:val="24"/>
          <w:shd w:val="clear" w:color="auto" w:fill="FFFFFF"/>
        </w:rPr>
        <w:t xml:space="preserve"> the program was extended to fuel distributors meeting the 25,000-metric ton threshold. In addition to the freely allocated emissions allowances from the state government, allowances are also sold to the highest bidder via auction. Between 2013 and 2018, California’s cap-and-trade auction system generated $9.3</w:t>
      </w:r>
      <w:r w:rsidR="00EF1F97" w:rsidRPr="00C13CF9">
        <w:rPr>
          <w:rFonts w:ascii="Palatino Linotype" w:hAnsi="Palatino Linotype"/>
          <w:color w:val="000000" w:themeColor="text1"/>
          <w:szCs w:val="24"/>
          <w:shd w:val="clear" w:color="auto" w:fill="FFFFFF"/>
        </w:rPr>
        <w:t xml:space="preserve"> billion</w:t>
      </w:r>
      <w:r w:rsidRPr="00C13CF9">
        <w:rPr>
          <w:rFonts w:ascii="Palatino Linotype" w:hAnsi="Palatino Linotype"/>
          <w:color w:val="000000" w:themeColor="text1"/>
          <w:szCs w:val="24"/>
          <w:shd w:val="clear" w:color="auto" w:fill="FFFFFF"/>
        </w:rPr>
        <w:t xml:space="preserve"> in revenue.</w:t>
      </w:r>
      <w:r w:rsidR="00FE3C17">
        <w:rPr>
          <w:rStyle w:val="FootnoteReference"/>
          <w:rFonts w:ascii="Palatino Linotype" w:hAnsi="Palatino Linotype"/>
          <w:color w:val="2D333D"/>
          <w:szCs w:val="24"/>
          <w:shd w:val="clear" w:color="auto" w:fill="FFFFFF"/>
        </w:rPr>
        <w:footnoteReference w:customMarkFollows="1" w:id="16"/>
        <w:t>15</w:t>
      </w:r>
    </w:p>
    <w:p w14:paraId="144D5D9D" w14:textId="105FCB7E" w:rsidR="00B95619" w:rsidRPr="000F17F7" w:rsidRDefault="0056653D" w:rsidP="000F17F7">
      <w:pPr>
        <w:spacing w:line="360" w:lineRule="auto"/>
        <w:jc w:val="both"/>
        <w:rPr>
          <w:rFonts w:ascii="Palatino Linotype" w:hAnsi="Palatino Linotype"/>
          <w:color w:val="2D333D"/>
          <w:szCs w:val="24"/>
          <w:shd w:val="clear" w:color="auto" w:fill="FFFFFF"/>
        </w:rPr>
      </w:pPr>
      <w:r w:rsidRPr="00C13CF9">
        <w:rPr>
          <w:rFonts w:ascii="Palatino Linotype" w:hAnsi="Palatino Linotype"/>
          <w:color w:val="000000" w:themeColor="text1"/>
          <w:szCs w:val="24"/>
          <w:shd w:val="clear" w:color="auto" w:fill="FFFFFF"/>
        </w:rPr>
        <w:tab/>
        <w:t>Through 2016, the price of gasoline per gallon in California is estimated to have risen by 11 cents and the price of diesel fuel per gallon by 13 cents as a result of California’s cap-and-trade system.</w:t>
      </w:r>
      <w:r w:rsidR="00D1487B">
        <w:rPr>
          <w:rStyle w:val="FootnoteReference"/>
          <w:rFonts w:ascii="Palatino Linotype" w:hAnsi="Palatino Linotype"/>
          <w:color w:val="000000" w:themeColor="text1"/>
          <w:szCs w:val="24"/>
          <w:shd w:val="clear" w:color="auto" w:fill="FFFFFF"/>
        </w:rPr>
        <w:footnoteReference w:customMarkFollows="1" w:id="17"/>
        <w:t>16</w:t>
      </w:r>
      <w:r w:rsidRPr="00C13CF9">
        <w:rPr>
          <w:rFonts w:ascii="Palatino Linotype" w:hAnsi="Palatino Linotype"/>
          <w:color w:val="000000" w:themeColor="text1"/>
          <w:szCs w:val="24"/>
          <w:shd w:val="clear" w:color="auto" w:fill="FFFFFF"/>
        </w:rPr>
        <w:t xml:space="preserve"> It is also estimated that since the implementation of </w:t>
      </w:r>
      <w:r w:rsidR="005C1450">
        <w:rPr>
          <w:rFonts w:ascii="Palatino Linotype" w:hAnsi="Palatino Linotype"/>
          <w:color w:val="000000" w:themeColor="text1"/>
          <w:szCs w:val="24"/>
          <w:shd w:val="clear" w:color="auto" w:fill="FFFFFF"/>
        </w:rPr>
        <w:t xml:space="preserve">a </w:t>
      </w:r>
      <w:r w:rsidRPr="00C13CF9">
        <w:rPr>
          <w:rFonts w:ascii="Palatino Linotype" w:hAnsi="Palatino Linotype"/>
          <w:color w:val="000000" w:themeColor="text1"/>
          <w:szCs w:val="24"/>
          <w:shd w:val="clear" w:color="auto" w:fill="FFFFFF"/>
        </w:rPr>
        <w:t xml:space="preserve">cap-and-trade, </w:t>
      </w:r>
      <w:r w:rsidRPr="00C13CF9">
        <w:rPr>
          <w:rFonts w:ascii="Palatino Linotype" w:hAnsi="Palatino Linotype"/>
          <w:color w:val="000000" w:themeColor="text1"/>
          <w:szCs w:val="24"/>
        </w:rPr>
        <w:t>motorists spend about $2 billion more annually for transportation fuel.</w:t>
      </w:r>
      <w:r w:rsidR="00D1487B">
        <w:rPr>
          <w:rStyle w:val="FootnoteReference"/>
          <w:rFonts w:ascii="Palatino Linotype" w:hAnsi="Palatino Linotype"/>
          <w:color w:val="000000" w:themeColor="text1"/>
          <w:szCs w:val="24"/>
        </w:rPr>
        <w:footnoteReference w:customMarkFollows="1" w:id="18"/>
        <w:t>17</w:t>
      </w:r>
      <w:r w:rsidR="0036481A">
        <w:rPr>
          <w:rFonts w:ascii="Palatino Linotype" w:hAnsi="Palatino Linotype"/>
          <w:color w:val="000000" w:themeColor="text1"/>
          <w:szCs w:val="24"/>
        </w:rPr>
        <w:t xml:space="preserve"> From 2013 to 2017, California has seen a reduction of 3 percent in statewide greenhouse gas emissions, although not all of the decline in emissions is attributable to the state’s cap-and-trade program.</w:t>
      </w:r>
      <w:r w:rsidR="00D1487B">
        <w:rPr>
          <w:rStyle w:val="FootnoteReference"/>
          <w:rFonts w:ascii="Palatino Linotype" w:hAnsi="Palatino Linotype"/>
          <w:color w:val="000000" w:themeColor="text1"/>
          <w:szCs w:val="24"/>
        </w:rPr>
        <w:footnoteReference w:customMarkFollows="1" w:id="19"/>
        <w:t>18</w:t>
      </w:r>
      <w:r w:rsidR="0036481A">
        <w:rPr>
          <w:rFonts w:ascii="Palatino Linotype" w:hAnsi="Palatino Linotype"/>
          <w:color w:val="000000" w:themeColor="text1"/>
          <w:szCs w:val="24"/>
        </w:rPr>
        <w:t xml:space="preserve"> As a result of the COVID-19 pandemic, demand for motor fuels has plummeted.</w:t>
      </w:r>
      <w:r w:rsidR="00D1487B">
        <w:rPr>
          <w:rStyle w:val="FootnoteReference"/>
          <w:rFonts w:ascii="Palatino Linotype" w:hAnsi="Palatino Linotype"/>
          <w:color w:val="000000" w:themeColor="text1"/>
          <w:szCs w:val="24"/>
        </w:rPr>
        <w:footnoteReference w:customMarkFollows="1" w:id="20"/>
        <w:t>19</w:t>
      </w:r>
      <w:r w:rsidR="0036481A">
        <w:rPr>
          <w:rFonts w:ascii="Palatino Linotype" w:hAnsi="Palatino Linotype"/>
          <w:color w:val="000000" w:themeColor="text1"/>
          <w:szCs w:val="24"/>
        </w:rPr>
        <w:t xml:space="preserve"> In May 2020, California’s cap-and-trade program only generated $25 million in auction revenues.</w:t>
      </w:r>
      <w:r w:rsidR="00D1487B">
        <w:rPr>
          <w:rStyle w:val="FootnoteReference"/>
          <w:rFonts w:ascii="Palatino Linotype" w:hAnsi="Palatino Linotype"/>
          <w:color w:val="000000" w:themeColor="text1"/>
          <w:szCs w:val="24"/>
        </w:rPr>
        <w:footnoteReference w:customMarkFollows="1" w:id="21"/>
        <w:t>20</w:t>
      </w:r>
      <w:r w:rsidR="0036481A">
        <w:rPr>
          <w:rFonts w:ascii="Palatino Linotype" w:hAnsi="Palatino Linotype"/>
          <w:color w:val="000000" w:themeColor="text1"/>
          <w:szCs w:val="24"/>
        </w:rPr>
        <w:t xml:space="preserve"> </w:t>
      </w:r>
    </w:p>
    <w:p w14:paraId="1A0059D7" w14:textId="006DEDED" w:rsidR="0056653D" w:rsidRPr="00153FBD" w:rsidRDefault="0056653D" w:rsidP="007F411F">
      <w:pPr>
        <w:pStyle w:val="Heading2"/>
        <w:rPr>
          <w:rFonts w:ascii="Palatino Linotype" w:hAnsi="Palatino Linotype"/>
          <w:b/>
          <w:bCs/>
          <w:color w:val="000000" w:themeColor="text1"/>
          <w:sz w:val="24"/>
          <w:szCs w:val="24"/>
          <w:shd w:val="clear" w:color="auto" w:fill="FFFFFF"/>
        </w:rPr>
      </w:pPr>
      <w:bookmarkStart w:id="7" w:name="_Toc55394585"/>
      <w:r w:rsidRPr="00153FBD">
        <w:rPr>
          <w:rFonts w:ascii="Palatino Linotype" w:hAnsi="Palatino Linotype"/>
          <w:b/>
          <w:bCs/>
          <w:color w:val="000000" w:themeColor="text1"/>
          <w:sz w:val="24"/>
          <w:szCs w:val="24"/>
          <w:shd w:val="clear" w:color="auto" w:fill="FFFFFF"/>
        </w:rPr>
        <w:lastRenderedPageBreak/>
        <w:t>China</w:t>
      </w:r>
      <w:bookmarkEnd w:id="7"/>
    </w:p>
    <w:p w14:paraId="1A835856" w14:textId="2F118BF7" w:rsidR="0056653D" w:rsidRPr="00A64BC9" w:rsidRDefault="0056653D" w:rsidP="005538D1">
      <w:pPr>
        <w:spacing w:line="360" w:lineRule="auto"/>
        <w:ind w:firstLine="720"/>
        <w:jc w:val="both"/>
        <w:rPr>
          <w:rFonts w:ascii="Palatino Linotype" w:hAnsi="Palatino Linotype"/>
          <w:szCs w:val="24"/>
          <w:shd w:val="clear" w:color="auto" w:fill="FFFFFF"/>
          <w:vertAlign w:val="superscript"/>
        </w:rPr>
      </w:pPr>
      <w:r>
        <w:rPr>
          <w:rFonts w:ascii="Palatino Linotype" w:hAnsi="Palatino Linotype"/>
          <w:szCs w:val="24"/>
          <w:shd w:val="clear" w:color="auto" w:fill="FFFFFF"/>
        </w:rPr>
        <w:t>In December of 2017, China formally launched its nationwide emission trading system (ETS).</w:t>
      </w:r>
      <w:r w:rsidR="00AB7C63">
        <w:rPr>
          <w:rStyle w:val="FootnoteReference"/>
          <w:rFonts w:ascii="Palatino Linotype" w:hAnsi="Palatino Linotype"/>
          <w:szCs w:val="24"/>
          <w:shd w:val="clear" w:color="auto" w:fill="FFFFFF"/>
        </w:rPr>
        <w:footnoteReference w:customMarkFollows="1" w:id="22"/>
        <w:t>21</w:t>
      </w:r>
      <w:r>
        <w:rPr>
          <w:rFonts w:ascii="Palatino Linotype" w:hAnsi="Palatino Linotype"/>
          <w:szCs w:val="24"/>
          <w:shd w:val="clear" w:color="auto" w:fill="FFFFFF"/>
        </w:rPr>
        <w:t xml:space="preserve"> China set the initial price of carbon at $10 per ton, with the cap </w:t>
      </w:r>
      <w:r w:rsidRPr="00A64BC9">
        <w:rPr>
          <w:rFonts w:ascii="Palatino Linotype" w:hAnsi="Palatino Linotype"/>
          <w:szCs w:val="24"/>
          <w:shd w:val="clear" w:color="auto" w:fill="FFFFFF"/>
        </w:rPr>
        <w:t xml:space="preserve">regulating 1,700 carbon-intensive sectors including energy production. China instituted its cap-and-trade system with </w:t>
      </w:r>
      <w:r w:rsidR="00886047">
        <w:rPr>
          <w:rFonts w:ascii="Palatino Linotype" w:hAnsi="Palatino Linotype"/>
          <w:szCs w:val="24"/>
          <w:shd w:val="clear" w:color="auto" w:fill="FFFFFF"/>
        </w:rPr>
        <w:t xml:space="preserve">the </w:t>
      </w:r>
      <w:r w:rsidRPr="00A64BC9">
        <w:rPr>
          <w:rFonts w:ascii="Palatino Linotype" w:hAnsi="Palatino Linotype"/>
          <w:szCs w:val="24"/>
          <w:shd w:val="clear" w:color="auto" w:fill="FFFFFF"/>
        </w:rPr>
        <w:t>goal of decreasing carbon emissions by a quarter or more by 2030.</w:t>
      </w:r>
      <w:r w:rsidR="00AB7C63">
        <w:rPr>
          <w:rStyle w:val="FootnoteReference"/>
          <w:rFonts w:ascii="Palatino Linotype" w:hAnsi="Palatino Linotype"/>
          <w:szCs w:val="24"/>
          <w:shd w:val="clear" w:color="auto" w:fill="FFFFFF"/>
        </w:rPr>
        <w:footnoteReference w:customMarkFollows="1" w:id="23"/>
        <w:t>22</w:t>
      </w:r>
      <w:r w:rsidRPr="00A64BC9">
        <w:rPr>
          <w:rFonts w:ascii="Palatino Linotype" w:hAnsi="Palatino Linotype"/>
          <w:szCs w:val="24"/>
          <w:shd w:val="clear" w:color="auto" w:fill="FFFFFF"/>
        </w:rPr>
        <w:t xml:space="preserve"> </w:t>
      </w:r>
      <w:r w:rsidRPr="00667304">
        <w:rPr>
          <w:rFonts w:ascii="Palatino Linotype" w:hAnsi="Palatino Linotype"/>
          <w:color w:val="000000" w:themeColor="text1"/>
          <w:szCs w:val="24"/>
          <w:shd w:val="clear" w:color="auto" w:fill="FFFFFF"/>
        </w:rPr>
        <w:t>According to Reuters, the nationwide ETS aims to cover 8 billion tons of carbon dioxide emission</w:t>
      </w:r>
      <w:r w:rsidR="002237DD">
        <w:rPr>
          <w:rFonts w:ascii="Palatino Linotype" w:hAnsi="Palatino Linotype"/>
          <w:color w:val="000000" w:themeColor="text1"/>
          <w:szCs w:val="24"/>
          <w:shd w:val="clear" w:color="auto" w:fill="FFFFFF"/>
        </w:rPr>
        <w:t>s</w:t>
      </w:r>
      <w:r w:rsidRPr="00667304">
        <w:rPr>
          <w:rFonts w:ascii="Palatino Linotype" w:hAnsi="Palatino Linotype"/>
          <w:color w:val="000000" w:themeColor="text1"/>
          <w:szCs w:val="24"/>
          <w:shd w:val="clear" w:color="auto" w:fill="FFFFFF"/>
        </w:rPr>
        <w:t xml:space="preserve"> per annum from around 100,000 industrial plants when the trading scheme is fully launched.</w:t>
      </w:r>
    </w:p>
    <w:p w14:paraId="28E0CA36" w14:textId="1D0E5174" w:rsidR="001E5C86" w:rsidRPr="000B2682" w:rsidRDefault="0056653D" w:rsidP="000B2682">
      <w:pPr>
        <w:spacing w:line="360" w:lineRule="auto"/>
        <w:ind w:firstLine="720"/>
        <w:jc w:val="both"/>
        <w:rPr>
          <w:rFonts w:ascii="Palatino Linotype" w:hAnsi="Palatino Linotype"/>
          <w:szCs w:val="24"/>
          <w:shd w:val="clear" w:color="auto" w:fill="FFFFFF"/>
        </w:rPr>
      </w:pPr>
      <w:r>
        <w:rPr>
          <w:rFonts w:ascii="Palatino Linotype" w:hAnsi="Palatino Linotype"/>
          <w:szCs w:val="24"/>
          <w:shd w:val="clear" w:color="auto" w:fill="FFFFFF"/>
        </w:rPr>
        <w:t xml:space="preserve">Trading of carbon on the Chinese ETS market has yet to commence, as China has been developing the necessary regulations and technical infrastructure for the market </w:t>
      </w:r>
      <w:r w:rsidR="009C3210">
        <w:rPr>
          <w:rFonts w:ascii="Palatino Linotype" w:hAnsi="Palatino Linotype"/>
          <w:szCs w:val="24"/>
          <w:shd w:val="clear" w:color="auto" w:fill="FFFFFF"/>
        </w:rPr>
        <w:t xml:space="preserve">and monitoring mechanisms </w:t>
      </w:r>
      <w:r>
        <w:rPr>
          <w:rFonts w:ascii="Palatino Linotype" w:hAnsi="Palatino Linotype"/>
          <w:szCs w:val="24"/>
          <w:shd w:val="clear" w:color="auto" w:fill="FFFFFF"/>
        </w:rPr>
        <w:t>since 2017. The Chinese expect the first trades in ETS to take place</w:t>
      </w:r>
      <w:r w:rsidR="002237DD">
        <w:rPr>
          <w:rFonts w:ascii="Palatino Linotype" w:hAnsi="Palatino Linotype"/>
          <w:szCs w:val="24"/>
          <w:shd w:val="clear" w:color="auto" w:fill="FFFFFF"/>
        </w:rPr>
        <w:t xml:space="preserve"> sometime</w:t>
      </w:r>
      <w:r>
        <w:rPr>
          <w:rFonts w:ascii="Palatino Linotype" w:hAnsi="Palatino Linotype"/>
          <w:szCs w:val="24"/>
          <w:shd w:val="clear" w:color="auto" w:fill="FFFFFF"/>
        </w:rPr>
        <w:t xml:space="preserve"> in 2020.</w:t>
      </w:r>
      <w:r w:rsidR="00AB7C63">
        <w:rPr>
          <w:rStyle w:val="FootnoteReference"/>
          <w:rFonts w:ascii="Palatino Linotype" w:hAnsi="Palatino Linotype"/>
          <w:szCs w:val="24"/>
          <w:shd w:val="clear" w:color="auto" w:fill="FFFFFF"/>
        </w:rPr>
        <w:footnoteReference w:customMarkFollows="1" w:id="24"/>
        <w:t>23</w:t>
      </w:r>
      <w:r>
        <w:rPr>
          <w:rFonts w:ascii="Palatino Linotype" w:hAnsi="Palatino Linotype"/>
          <w:szCs w:val="24"/>
          <w:shd w:val="clear" w:color="auto" w:fill="FFFFFF"/>
        </w:rPr>
        <w:t xml:space="preserve">  </w:t>
      </w:r>
      <w:bookmarkStart w:id="8" w:name="_Toc31710867"/>
    </w:p>
    <w:p w14:paraId="32EC6234" w14:textId="0698142C" w:rsidR="0056653D" w:rsidRDefault="00721219" w:rsidP="00006AE8">
      <w:pPr>
        <w:pStyle w:val="Heading1"/>
        <w:rPr>
          <w:rFonts w:ascii="Palatino Linotype" w:hAnsi="Palatino Linotype"/>
          <w:b/>
          <w:noProof/>
          <w:sz w:val="32"/>
          <w:szCs w:val="32"/>
        </w:rPr>
      </w:pPr>
      <w:bookmarkStart w:id="9" w:name="_Toc55394586"/>
      <w:r>
        <w:rPr>
          <w:rFonts w:ascii="Palatino Linotype" w:hAnsi="Palatino Linotype"/>
          <w:b/>
          <w:noProof/>
          <w:sz w:val="32"/>
          <w:szCs w:val="32"/>
        </w:rPr>
        <w:t>Virginia</w:t>
      </w:r>
      <w:r w:rsidR="00063782">
        <w:rPr>
          <w:rFonts w:ascii="Palatino Linotype" w:hAnsi="Palatino Linotype"/>
          <w:b/>
          <w:noProof/>
          <w:sz w:val="32"/>
          <w:szCs w:val="32"/>
        </w:rPr>
        <w:t xml:space="preserve"> </w:t>
      </w:r>
      <w:r w:rsidR="0056653D" w:rsidRPr="00006AE8">
        <w:rPr>
          <w:rFonts w:ascii="Palatino Linotype" w:hAnsi="Palatino Linotype"/>
          <w:b/>
          <w:noProof/>
          <w:sz w:val="32"/>
          <w:szCs w:val="32"/>
        </w:rPr>
        <w:t>Climate Policy</w:t>
      </w:r>
      <w:bookmarkEnd w:id="8"/>
      <w:bookmarkEnd w:id="9"/>
    </w:p>
    <w:p w14:paraId="36687C48" w14:textId="77777777" w:rsidR="00006AE8" w:rsidRPr="00006AE8" w:rsidRDefault="00006AE8" w:rsidP="00006AE8"/>
    <w:p w14:paraId="4F810F16" w14:textId="74204D3F" w:rsidR="00DF04F7" w:rsidRPr="008B2C98" w:rsidRDefault="005D452F" w:rsidP="005538D1">
      <w:pPr>
        <w:spacing w:line="360" w:lineRule="auto"/>
        <w:ind w:firstLine="720"/>
        <w:jc w:val="both"/>
        <w:rPr>
          <w:rFonts w:ascii="Palatino Linotype" w:hAnsi="Palatino Linotype"/>
          <w:szCs w:val="24"/>
        </w:rPr>
      </w:pPr>
      <w:r w:rsidRPr="008B2C98">
        <w:rPr>
          <w:rFonts w:ascii="Palatino Linotype" w:hAnsi="Palatino Linotype"/>
          <w:szCs w:val="24"/>
        </w:rPr>
        <w:t xml:space="preserve">Much of </w:t>
      </w:r>
      <w:r w:rsidR="00721219">
        <w:rPr>
          <w:rFonts w:ascii="Palatino Linotype" w:hAnsi="Palatino Linotype"/>
          <w:szCs w:val="24"/>
        </w:rPr>
        <w:t>Virginia</w:t>
      </w:r>
      <w:r w:rsidRPr="008B2C98">
        <w:rPr>
          <w:rFonts w:ascii="Palatino Linotype" w:hAnsi="Palatino Linotype"/>
          <w:szCs w:val="24"/>
        </w:rPr>
        <w:t xml:space="preserve">’s climate change policy </w:t>
      </w:r>
      <w:r w:rsidR="006170F1" w:rsidRPr="008B2C98">
        <w:rPr>
          <w:rFonts w:ascii="Palatino Linotype" w:hAnsi="Palatino Linotype"/>
          <w:szCs w:val="24"/>
        </w:rPr>
        <w:t>originates</w:t>
      </w:r>
      <w:r w:rsidRPr="008B2C98">
        <w:rPr>
          <w:rFonts w:ascii="Palatino Linotype" w:hAnsi="Palatino Linotype"/>
          <w:szCs w:val="24"/>
        </w:rPr>
        <w:t xml:space="preserve"> from the</w:t>
      </w:r>
      <w:r w:rsidR="001F59BA" w:rsidRPr="008B2C98">
        <w:rPr>
          <w:rFonts w:ascii="Palatino Linotype" w:hAnsi="Palatino Linotype"/>
          <w:szCs w:val="24"/>
        </w:rPr>
        <w:t xml:space="preserve"> 2008</w:t>
      </w:r>
      <w:r w:rsidRPr="008B2C98">
        <w:rPr>
          <w:rFonts w:ascii="Palatino Linotype" w:hAnsi="Palatino Linotype"/>
          <w:szCs w:val="24"/>
        </w:rPr>
        <w:t xml:space="preserve"> </w:t>
      </w:r>
      <w:r w:rsidR="006170F1" w:rsidRPr="008B2C98">
        <w:rPr>
          <w:rFonts w:ascii="Palatino Linotype" w:hAnsi="Palatino Linotype"/>
          <w:szCs w:val="24"/>
        </w:rPr>
        <w:t>Climate Action Plan</w:t>
      </w:r>
      <w:r w:rsidR="001F59BA" w:rsidRPr="008B2C98">
        <w:rPr>
          <w:rFonts w:ascii="Palatino Linotype" w:hAnsi="Palatino Linotype"/>
          <w:szCs w:val="24"/>
        </w:rPr>
        <w:t xml:space="preserve">. </w:t>
      </w:r>
      <w:r w:rsidR="00721219">
        <w:rPr>
          <w:rFonts w:ascii="Palatino Linotype" w:hAnsi="Palatino Linotype"/>
          <w:szCs w:val="24"/>
        </w:rPr>
        <w:t>The 2008 Climate Plan was the result of</w:t>
      </w:r>
      <w:r w:rsidR="002213EB" w:rsidRPr="008B2C98">
        <w:rPr>
          <w:rFonts w:ascii="Palatino Linotype" w:hAnsi="Palatino Linotype"/>
          <w:szCs w:val="24"/>
        </w:rPr>
        <w:t xml:space="preserve"> the </w:t>
      </w:r>
      <w:r w:rsidR="00427064" w:rsidRPr="008B2C98">
        <w:rPr>
          <w:rFonts w:ascii="Palatino Linotype" w:hAnsi="Palatino Linotype"/>
          <w:szCs w:val="24"/>
        </w:rPr>
        <w:t>Governor’s Commission on Climate Change (GCCC),</w:t>
      </w:r>
      <w:r w:rsidR="00721219">
        <w:rPr>
          <w:rFonts w:ascii="Palatino Linotype" w:hAnsi="Palatino Linotype"/>
          <w:szCs w:val="24"/>
        </w:rPr>
        <w:t xml:space="preserve"> which was </w:t>
      </w:r>
      <w:r w:rsidR="00781E88">
        <w:rPr>
          <w:rFonts w:ascii="Palatino Linotype" w:hAnsi="Palatino Linotype"/>
          <w:szCs w:val="24"/>
        </w:rPr>
        <w:t>spearheaded</w:t>
      </w:r>
      <w:r w:rsidR="00721219">
        <w:rPr>
          <w:rFonts w:ascii="Palatino Linotype" w:hAnsi="Palatino Linotype"/>
          <w:szCs w:val="24"/>
        </w:rPr>
        <w:t xml:space="preserve"> by Governor Tim Kaine in 2007. After</w:t>
      </w:r>
      <w:r w:rsidR="00BA1C0C">
        <w:rPr>
          <w:rFonts w:ascii="Palatino Linotype" w:hAnsi="Palatino Linotype"/>
          <w:szCs w:val="24"/>
        </w:rPr>
        <w:t xml:space="preserve"> examining</w:t>
      </w:r>
      <w:r w:rsidR="00721219">
        <w:rPr>
          <w:rFonts w:ascii="Palatino Linotype" w:hAnsi="Palatino Linotype"/>
          <w:szCs w:val="24"/>
        </w:rPr>
        <w:t xml:space="preserve"> the </w:t>
      </w:r>
      <w:r w:rsidR="00BA1C0C">
        <w:rPr>
          <w:rFonts w:ascii="Palatino Linotype" w:hAnsi="Palatino Linotype"/>
          <w:szCs w:val="24"/>
        </w:rPr>
        <w:t>Commonwealth</w:t>
      </w:r>
      <w:r w:rsidR="00721219">
        <w:rPr>
          <w:rFonts w:ascii="Palatino Linotype" w:hAnsi="Palatino Linotype"/>
          <w:szCs w:val="24"/>
        </w:rPr>
        <w:t xml:space="preserve"> of Virginia’s economy and projecting the impacts of climate change on the</w:t>
      </w:r>
      <w:r w:rsidR="00BA1C0C">
        <w:rPr>
          <w:rFonts w:ascii="Palatino Linotype" w:hAnsi="Palatino Linotype"/>
          <w:szCs w:val="24"/>
        </w:rPr>
        <w:t xml:space="preserve"> state</w:t>
      </w:r>
      <w:r w:rsidR="00721219">
        <w:rPr>
          <w:rFonts w:ascii="Palatino Linotype" w:hAnsi="Palatino Linotype"/>
          <w:szCs w:val="24"/>
        </w:rPr>
        <w:t>, t</w:t>
      </w:r>
      <w:r w:rsidR="00427064" w:rsidRPr="008B2C98">
        <w:rPr>
          <w:rFonts w:ascii="Palatino Linotype" w:hAnsi="Palatino Linotype"/>
          <w:szCs w:val="24"/>
        </w:rPr>
        <w:t>he 2008 Climate Action Plan made nine</w:t>
      </w:r>
      <w:r w:rsidR="00721219">
        <w:rPr>
          <w:rFonts w:ascii="Palatino Linotype" w:hAnsi="Palatino Linotype"/>
          <w:szCs w:val="24"/>
        </w:rPr>
        <w:t xml:space="preserve"> general</w:t>
      </w:r>
      <w:r w:rsidR="00427064" w:rsidRPr="008B2C98">
        <w:rPr>
          <w:rFonts w:ascii="Palatino Linotype" w:hAnsi="Palatino Linotype"/>
          <w:szCs w:val="24"/>
        </w:rPr>
        <w:t xml:space="preserve"> </w:t>
      </w:r>
      <w:r w:rsidR="0061120C" w:rsidRPr="008B2C98">
        <w:rPr>
          <w:rFonts w:ascii="Palatino Linotype" w:hAnsi="Palatino Linotype"/>
          <w:szCs w:val="24"/>
        </w:rPr>
        <w:lastRenderedPageBreak/>
        <w:t xml:space="preserve">recommendations to reduce </w:t>
      </w:r>
      <w:r w:rsidR="00721219">
        <w:rPr>
          <w:rFonts w:ascii="Palatino Linotype" w:hAnsi="Palatino Linotype"/>
          <w:szCs w:val="24"/>
        </w:rPr>
        <w:t>Virginia</w:t>
      </w:r>
      <w:r w:rsidR="0061120C" w:rsidRPr="008B2C98">
        <w:rPr>
          <w:rFonts w:ascii="Palatino Linotype" w:hAnsi="Palatino Linotype"/>
          <w:szCs w:val="24"/>
        </w:rPr>
        <w:t>’s greenhouse gas emissions</w:t>
      </w:r>
      <w:r w:rsidR="008B2C98" w:rsidRPr="008B2C98">
        <w:rPr>
          <w:rFonts w:ascii="Palatino Linotype" w:hAnsi="Palatino Linotype"/>
          <w:szCs w:val="24"/>
        </w:rPr>
        <w:t xml:space="preserve"> (listed below)</w:t>
      </w:r>
      <w:r w:rsidR="0061120C" w:rsidRPr="008B2C98">
        <w:rPr>
          <w:rFonts w:ascii="Palatino Linotype" w:hAnsi="Palatino Linotype"/>
          <w:szCs w:val="24"/>
        </w:rPr>
        <w:t>.</w:t>
      </w:r>
      <w:r w:rsidR="00AB7C63">
        <w:rPr>
          <w:rStyle w:val="FootnoteReference"/>
          <w:rFonts w:ascii="Palatino Linotype" w:hAnsi="Palatino Linotype"/>
          <w:szCs w:val="24"/>
        </w:rPr>
        <w:footnoteReference w:customMarkFollows="1" w:id="25"/>
        <w:t>24</w:t>
      </w:r>
      <w:r w:rsidR="0061120C" w:rsidRPr="008B2C98">
        <w:rPr>
          <w:rFonts w:ascii="Palatino Linotype" w:hAnsi="Palatino Linotype"/>
          <w:szCs w:val="24"/>
        </w:rPr>
        <w:t xml:space="preserve"> </w:t>
      </w:r>
      <w:r w:rsidR="00DB1378">
        <w:rPr>
          <w:rFonts w:ascii="Palatino Linotype" w:hAnsi="Palatino Linotype"/>
          <w:szCs w:val="24"/>
        </w:rPr>
        <w:t xml:space="preserve"> Under these recommendations, Virginia will:</w:t>
      </w:r>
    </w:p>
    <w:p w14:paraId="7843E9C1" w14:textId="335B540D" w:rsidR="00DF04F7" w:rsidRPr="008B2C98" w:rsidRDefault="00DB1378" w:rsidP="00DF04F7">
      <w:pPr>
        <w:pStyle w:val="ListParagraph"/>
        <w:numPr>
          <w:ilvl w:val="0"/>
          <w:numId w:val="16"/>
        </w:numPr>
        <w:spacing w:line="360" w:lineRule="auto"/>
        <w:jc w:val="both"/>
        <w:rPr>
          <w:rFonts w:ascii="Palatino Linotype" w:hAnsi="Palatino Linotype"/>
          <w:sz w:val="24"/>
          <w:szCs w:val="24"/>
        </w:rPr>
      </w:pPr>
      <w:r>
        <w:rPr>
          <w:rFonts w:ascii="Palatino Linotype" w:hAnsi="Palatino Linotype"/>
          <w:sz w:val="24"/>
          <w:szCs w:val="24"/>
        </w:rPr>
        <w:t>R</w:t>
      </w:r>
      <w:r w:rsidR="00DF04F7" w:rsidRPr="008B2C98">
        <w:rPr>
          <w:rFonts w:ascii="Palatino Linotype" w:hAnsi="Palatino Linotype"/>
          <w:sz w:val="24"/>
          <w:szCs w:val="24"/>
        </w:rPr>
        <w:t>educe GHG emissions by increasing energy efficiency and conservation.</w:t>
      </w:r>
    </w:p>
    <w:p w14:paraId="5A8A3EF6" w14:textId="0DE53197" w:rsidR="002468A3" w:rsidRPr="008B2C98" w:rsidRDefault="00DB1378" w:rsidP="00DF04F7">
      <w:pPr>
        <w:pStyle w:val="ListParagraph"/>
        <w:numPr>
          <w:ilvl w:val="0"/>
          <w:numId w:val="16"/>
        </w:numPr>
        <w:spacing w:line="360" w:lineRule="auto"/>
        <w:jc w:val="both"/>
        <w:rPr>
          <w:rFonts w:ascii="Palatino Linotype" w:hAnsi="Palatino Linotype"/>
          <w:sz w:val="24"/>
          <w:szCs w:val="24"/>
        </w:rPr>
      </w:pPr>
      <w:r>
        <w:rPr>
          <w:rFonts w:ascii="Palatino Linotype" w:hAnsi="Palatino Linotype"/>
          <w:sz w:val="24"/>
          <w:szCs w:val="24"/>
        </w:rPr>
        <w:t>A</w:t>
      </w:r>
      <w:r w:rsidR="002468A3" w:rsidRPr="008B2C98">
        <w:rPr>
          <w:rFonts w:ascii="Palatino Linotype" w:hAnsi="Palatino Linotype"/>
          <w:sz w:val="24"/>
          <w:szCs w:val="24"/>
        </w:rPr>
        <w:t xml:space="preserve">dvocate for federal actions that will reduce net GHG emissions. </w:t>
      </w:r>
    </w:p>
    <w:p w14:paraId="243CEF09" w14:textId="6475F54E" w:rsidR="002468A3" w:rsidRPr="008B2C98" w:rsidRDefault="00DB1378" w:rsidP="00DF04F7">
      <w:pPr>
        <w:pStyle w:val="ListParagraph"/>
        <w:numPr>
          <w:ilvl w:val="0"/>
          <w:numId w:val="16"/>
        </w:numPr>
        <w:spacing w:line="360" w:lineRule="auto"/>
        <w:jc w:val="both"/>
        <w:rPr>
          <w:rFonts w:ascii="Palatino Linotype" w:hAnsi="Palatino Linotype"/>
          <w:sz w:val="24"/>
          <w:szCs w:val="24"/>
        </w:rPr>
      </w:pPr>
      <w:r>
        <w:rPr>
          <w:rFonts w:ascii="Palatino Linotype" w:hAnsi="Palatino Linotype"/>
          <w:sz w:val="24"/>
          <w:szCs w:val="24"/>
        </w:rPr>
        <w:t>R</w:t>
      </w:r>
      <w:r w:rsidR="002468A3" w:rsidRPr="008B2C98">
        <w:rPr>
          <w:rFonts w:ascii="Palatino Linotype" w:hAnsi="Palatino Linotype"/>
          <w:sz w:val="24"/>
          <w:szCs w:val="24"/>
        </w:rPr>
        <w:t xml:space="preserve">educe GHG emissions related to vehicle miles traveled through expanded commuter choice, improved transportation system efficiency, and improved community designs. </w:t>
      </w:r>
    </w:p>
    <w:p w14:paraId="751FA7D1" w14:textId="5BE92D22" w:rsidR="00CE4B4F" w:rsidRPr="008B2C98" w:rsidRDefault="00DB1378" w:rsidP="00DF04F7">
      <w:pPr>
        <w:pStyle w:val="ListParagraph"/>
        <w:numPr>
          <w:ilvl w:val="0"/>
          <w:numId w:val="16"/>
        </w:numPr>
        <w:spacing w:line="360" w:lineRule="auto"/>
        <w:jc w:val="both"/>
        <w:rPr>
          <w:rFonts w:ascii="Palatino Linotype" w:hAnsi="Palatino Linotype"/>
          <w:sz w:val="24"/>
          <w:szCs w:val="24"/>
        </w:rPr>
      </w:pPr>
      <w:r>
        <w:rPr>
          <w:rFonts w:ascii="Palatino Linotype" w:hAnsi="Palatino Linotype"/>
          <w:sz w:val="24"/>
          <w:szCs w:val="24"/>
        </w:rPr>
        <w:t>R</w:t>
      </w:r>
      <w:r w:rsidR="00CE4B4F" w:rsidRPr="008B2C98">
        <w:rPr>
          <w:rFonts w:ascii="Palatino Linotype" w:hAnsi="Palatino Linotype"/>
          <w:sz w:val="24"/>
          <w:szCs w:val="24"/>
        </w:rPr>
        <w:t>educe GHG emissions from automobiles and trucks by increasing efficiency of the transportation fleet and use of alternative fuels.</w:t>
      </w:r>
    </w:p>
    <w:p w14:paraId="6DA22453" w14:textId="02AC309C" w:rsidR="00CE4B4F" w:rsidRPr="008B2C98" w:rsidRDefault="00DB1378" w:rsidP="00DF04F7">
      <w:pPr>
        <w:pStyle w:val="ListParagraph"/>
        <w:numPr>
          <w:ilvl w:val="0"/>
          <w:numId w:val="16"/>
        </w:numPr>
        <w:spacing w:line="360" w:lineRule="auto"/>
        <w:jc w:val="both"/>
        <w:rPr>
          <w:rFonts w:ascii="Palatino Linotype" w:hAnsi="Palatino Linotype"/>
          <w:sz w:val="24"/>
          <w:szCs w:val="24"/>
        </w:rPr>
      </w:pPr>
      <w:r>
        <w:rPr>
          <w:rFonts w:ascii="Palatino Linotype" w:hAnsi="Palatino Linotype"/>
          <w:sz w:val="24"/>
          <w:szCs w:val="24"/>
        </w:rPr>
        <w:t>R</w:t>
      </w:r>
      <w:r w:rsidR="00CE4B4F" w:rsidRPr="008B2C98">
        <w:rPr>
          <w:rFonts w:ascii="Palatino Linotype" w:hAnsi="Palatino Linotype"/>
          <w:sz w:val="24"/>
          <w:szCs w:val="24"/>
        </w:rPr>
        <w:t>educe GHG emissions through accelerated research and development.</w:t>
      </w:r>
    </w:p>
    <w:p w14:paraId="66173198" w14:textId="58605327" w:rsidR="00CE4B4F" w:rsidRPr="008B2C98" w:rsidRDefault="00DB1378" w:rsidP="00DF04F7">
      <w:pPr>
        <w:pStyle w:val="ListParagraph"/>
        <w:numPr>
          <w:ilvl w:val="0"/>
          <w:numId w:val="16"/>
        </w:numPr>
        <w:spacing w:line="360" w:lineRule="auto"/>
        <w:jc w:val="both"/>
        <w:rPr>
          <w:rFonts w:ascii="Palatino Linotype" w:hAnsi="Palatino Linotype"/>
          <w:sz w:val="24"/>
          <w:szCs w:val="24"/>
        </w:rPr>
      </w:pPr>
      <w:r>
        <w:rPr>
          <w:rFonts w:ascii="Palatino Linotype" w:hAnsi="Palatino Linotype"/>
          <w:sz w:val="24"/>
          <w:szCs w:val="24"/>
        </w:rPr>
        <w:t>R</w:t>
      </w:r>
      <w:r w:rsidR="00CE4B4F" w:rsidRPr="008B2C98">
        <w:rPr>
          <w:rFonts w:ascii="Palatino Linotype" w:hAnsi="Palatino Linotype"/>
          <w:sz w:val="24"/>
          <w:szCs w:val="24"/>
        </w:rPr>
        <w:t>educe GHG emissions by increasing the proportion of energy demands that are met by renewable sources.</w:t>
      </w:r>
    </w:p>
    <w:p w14:paraId="10E12C74" w14:textId="287BED40" w:rsidR="00116D8B" w:rsidRPr="008B2C98" w:rsidRDefault="00DB1378" w:rsidP="00DF04F7">
      <w:pPr>
        <w:pStyle w:val="ListParagraph"/>
        <w:numPr>
          <w:ilvl w:val="0"/>
          <w:numId w:val="16"/>
        </w:numPr>
        <w:spacing w:line="360" w:lineRule="auto"/>
        <w:jc w:val="both"/>
        <w:rPr>
          <w:rFonts w:ascii="Palatino Linotype" w:hAnsi="Palatino Linotype"/>
          <w:sz w:val="24"/>
          <w:szCs w:val="24"/>
        </w:rPr>
      </w:pPr>
      <w:r>
        <w:rPr>
          <w:rFonts w:ascii="Palatino Linotype" w:hAnsi="Palatino Linotype"/>
          <w:sz w:val="24"/>
          <w:szCs w:val="24"/>
        </w:rPr>
        <w:t>R</w:t>
      </w:r>
      <w:r w:rsidR="00116D8B" w:rsidRPr="008B2C98">
        <w:rPr>
          <w:rFonts w:ascii="Palatino Linotype" w:hAnsi="Palatino Linotype"/>
          <w:sz w:val="24"/>
          <w:szCs w:val="24"/>
        </w:rPr>
        <w:t>educe GHG emissions by increasing the proportion of electricity generation provided by emissions-free sources of energy.</w:t>
      </w:r>
    </w:p>
    <w:p w14:paraId="2281E132" w14:textId="5D3B8B75" w:rsidR="00721219" w:rsidRPr="00721219" w:rsidRDefault="00DB1378" w:rsidP="00A868B0">
      <w:pPr>
        <w:pStyle w:val="ListParagraph"/>
        <w:numPr>
          <w:ilvl w:val="0"/>
          <w:numId w:val="16"/>
        </w:numPr>
        <w:spacing w:line="360" w:lineRule="auto"/>
        <w:jc w:val="both"/>
        <w:rPr>
          <w:rFonts w:ascii="Palatino Linotype" w:hAnsi="Palatino Linotype"/>
          <w:sz w:val="16"/>
          <w:szCs w:val="16"/>
        </w:rPr>
      </w:pPr>
      <w:r>
        <w:rPr>
          <w:rFonts w:ascii="Palatino Linotype" w:hAnsi="Palatino Linotype"/>
          <w:sz w:val="24"/>
          <w:szCs w:val="24"/>
        </w:rPr>
        <w:t>R</w:t>
      </w:r>
      <w:r w:rsidR="008B2C98" w:rsidRPr="008B2C98">
        <w:rPr>
          <w:rFonts w:ascii="Palatino Linotype" w:hAnsi="Palatino Linotype"/>
          <w:sz w:val="24"/>
          <w:szCs w:val="24"/>
        </w:rPr>
        <w:t>educe net GHG emissions by protecting/enhancing natural carbon sequestration capacity and researching/promoting carbon capture and storage technology.</w:t>
      </w:r>
      <w:r w:rsidR="00721219" w:rsidRPr="00721219">
        <w:rPr>
          <w:rFonts w:ascii="Palatino Linotype" w:hAnsi="Palatino Linotype"/>
          <w:sz w:val="16"/>
          <w:szCs w:val="16"/>
        </w:rPr>
        <w:t xml:space="preserve"> </w:t>
      </w:r>
    </w:p>
    <w:p w14:paraId="4B9AB353" w14:textId="7BFC8A50" w:rsidR="00721219" w:rsidRDefault="00DB1378" w:rsidP="00721219">
      <w:pPr>
        <w:pStyle w:val="ListParagraph"/>
        <w:numPr>
          <w:ilvl w:val="0"/>
          <w:numId w:val="16"/>
        </w:numPr>
        <w:spacing w:line="360" w:lineRule="auto"/>
        <w:jc w:val="both"/>
        <w:rPr>
          <w:rFonts w:ascii="Palatino Linotype" w:hAnsi="Palatino Linotype"/>
          <w:sz w:val="24"/>
          <w:szCs w:val="24"/>
        </w:rPr>
      </w:pPr>
      <w:r>
        <w:rPr>
          <w:rFonts w:ascii="Palatino Linotype" w:hAnsi="Palatino Linotype"/>
          <w:sz w:val="24"/>
          <w:szCs w:val="24"/>
        </w:rPr>
        <w:t>Implement</w:t>
      </w:r>
      <w:r w:rsidR="008B2C98" w:rsidRPr="008B2C98">
        <w:rPr>
          <w:rFonts w:ascii="Palatino Linotype" w:hAnsi="Palatino Linotype"/>
          <w:sz w:val="24"/>
          <w:szCs w:val="24"/>
        </w:rPr>
        <w:t xml:space="preserve"> practices that will reduce GHG emissions.</w:t>
      </w:r>
    </w:p>
    <w:p w14:paraId="6732F30C" w14:textId="0819E27E" w:rsidR="00721219" w:rsidRPr="00443857" w:rsidRDefault="00721219" w:rsidP="00721219">
      <w:pPr>
        <w:spacing w:line="360" w:lineRule="auto"/>
        <w:ind w:firstLine="720"/>
        <w:jc w:val="both"/>
        <w:rPr>
          <w:rFonts w:ascii="Palatino Linotype" w:hAnsi="Palatino Linotype"/>
          <w:szCs w:val="24"/>
        </w:rPr>
      </w:pPr>
      <w:r w:rsidRPr="00721219">
        <w:rPr>
          <w:rFonts w:ascii="Palatino Linotype" w:hAnsi="Palatino Linotype"/>
          <w:szCs w:val="24"/>
        </w:rPr>
        <w:t xml:space="preserve">Virginia has taken steps to accomplish each of these goals, but as detailed in a study by </w:t>
      </w:r>
      <w:r>
        <w:rPr>
          <w:rFonts w:ascii="Palatino Linotype" w:hAnsi="Palatino Linotype"/>
          <w:szCs w:val="24"/>
        </w:rPr>
        <w:t xml:space="preserve">the Virginia Institute of Marine Science, major progress on many of the 2008 </w:t>
      </w:r>
      <w:r w:rsidRPr="005908F6">
        <w:rPr>
          <w:rFonts w:ascii="Palatino Linotype" w:hAnsi="Palatino Linotype"/>
          <w:szCs w:val="24"/>
        </w:rPr>
        <w:t xml:space="preserve">Climate Action Plan’s goals has been </w:t>
      </w:r>
      <w:r w:rsidR="00AF13D7" w:rsidRPr="00BE44B9">
        <w:rPr>
          <w:rFonts w:ascii="Palatino Linotype" w:hAnsi="Palatino Linotype"/>
          <w:szCs w:val="24"/>
        </w:rPr>
        <w:t>hard</w:t>
      </w:r>
      <w:r w:rsidRPr="00443857">
        <w:rPr>
          <w:rFonts w:ascii="Palatino Linotype" w:hAnsi="Palatino Linotype"/>
          <w:szCs w:val="24"/>
        </w:rPr>
        <w:t xml:space="preserve"> to come by.</w:t>
      </w:r>
    </w:p>
    <w:p w14:paraId="7B788100" w14:textId="76F4FFF4" w:rsidR="00D14142" w:rsidRDefault="00600001" w:rsidP="005908F6">
      <w:pPr>
        <w:spacing w:line="360" w:lineRule="auto"/>
        <w:ind w:firstLine="720"/>
        <w:jc w:val="both"/>
        <w:rPr>
          <w:rFonts w:ascii="Palatino Linotype" w:hAnsi="Palatino Linotype"/>
          <w:szCs w:val="24"/>
        </w:rPr>
      </w:pPr>
      <w:r w:rsidRPr="00E315BA">
        <w:rPr>
          <w:rFonts w:ascii="Palatino Linotype" w:hAnsi="Palatino Linotype"/>
          <w:szCs w:val="24"/>
        </w:rPr>
        <w:lastRenderedPageBreak/>
        <w:t>Starting on January 1, 2021, Virginia will joi</w:t>
      </w:r>
      <w:r w:rsidR="005908F6" w:rsidRPr="00E315BA">
        <w:rPr>
          <w:rFonts w:ascii="Palatino Linotype" w:hAnsi="Palatino Linotype"/>
          <w:szCs w:val="24"/>
        </w:rPr>
        <w:t>n the Regional Greenhouse Gas Initiative (RGGI).</w:t>
      </w:r>
      <w:r w:rsidR="002D4A3B">
        <w:rPr>
          <w:rStyle w:val="FootnoteReference"/>
          <w:rFonts w:ascii="Palatino Linotype" w:hAnsi="Palatino Linotype"/>
          <w:szCs w:val="24"/>
        </w:rPr>
        <w:footnoteReference w:customMarkFollows="1" w:id="26"/>
        <w:t>25</w:t>
      </w:r>
      <w:r w:rsidR="00A9222C" w:rsidRPr="00E315BA">
        <w:rPr>
          <w:rFonts w:ascii="Palatino Linotype" w:hAnsi="Palatino Linotype"/>
          <w:szCs w:val="24"/>
        </w:rPr>
        <w:t xml:space="preserve"> </w:t>
      </w:r>
      <w:r w:rsidR="007D3DF7" w:rsidRPr="00E315BA">
        <w:rPr>
          <w:rFonts w:ascii="Palatino Linotype" w:hAnsi="Palatino Linotype"/>
          <w:szCs w:val="24"/>
        </w:rPr>
        <w:t xml:space="preserve"> </w:t>
      </w:r>
      <w:r w:rsidR="005908F6" w:rsidRPr="00E315BA">
        <w:rPr>
          <w:rFonts w:ascii="Palatino Linotype" w:hAnsi="Palatino Linotype"/>
          <w:szCs w:val="24"/>
        </w:rPr>
        <w:t>RGGI is a carbo</w:t>
      </w:r>
      <w:r w:rsidR="005908F6" w:rsidRPr="005908F6">
        <w:rPr>
          <w:rFonts w:ascii="Palatino Linotype" w:hAnsi="Palatino Linotype"/>
          <w:szCs w:val="24"/>
        </w:rPr>
        <w:t>n dioxide cap-and</w:t>
      </w:r>
      <w:r w:rsidR="005908F6" w:rsidRPr="00BE44B9">
        <w:rPr>
          <w:rFonts w:ascii="Palatino Linotype" w:hAnsi="Palatino Linotype"/>
          <w:szCs w:val="24"/>
        </w:rPr>
        <w:t>-</w:t>
      </w:r>
      <w:r w:rsidR="005908F6" w:rsidRPr="00443857">
        <w:rPr>
          <w:rFonts w:ascii="Palatino Linotype" w:hAnsi="Palatino Linotype"/>
          <w:szCs w:val="24"/>
        </w:rPr>
        <w:t xml:space="preserve">trade agreement between nine Northeastern </w:t>
      </w:r>
      <w:r w:rsidR="005908F6" w:rsidRPr="00B53488">
        <w:rPr>
          <w:rFonts w:ascii="Palatino Linotype" w:hAnsi="Palatino Linotype"/>
          <w:szCs w:val="24"/>
        </w:rPr>
        <w:t>states.</w:t>
      </w:r>
      <w:r w:rsidR="002D4A3B">
        <w:rPr>
          <w:rStyle w:val="FootnoteReference"/>
          <w:rFonts w:ascii="Palatino Linotype" w:hAnsi="Palatino Linotype"/>
          <w:szCs w:val="24"/>
        </w:rPr>
        <w:footnoteReference w:customMarkFollows="1" w:id="27"/>
        <w:t>26</w:t>
      </w:r>
      <w:r w:rsidR="005908F6" w:rsidRPr="005C0B90">
        <w:rPr>
          <w:rFonts w:ascii="Palatino Linotype" w:hAnsi="Palatino Linotype"/>
          <w:szCs w:val="24"/>
        </w:rPr>
        <w:t xml:space="preserve">  RGGI, Inc. is the entity responsible for managing the goals of the law. </w:t>
      </w:r>
      <w:r w:rsidR="005908F6" w:rsidRPr="00E315BA">
        <w:rPr>
          <w:rFonts w:ascii="Palatino Linotype" w:hAnsi="Palatino Linotype"/>
          <w:szCs w:val="24"/>
        </w:rPr>
        <w:t xml:space="preserve"> RGGI imposes a limit on the amount of carbon dioxide (CO2) emitted by all of the regulated electric power plants in the region.  Each state agrees to issue a fixed amount of allowances corresponding to this limit, proportional to the number of power plants in the state.</w:t>
      </w:r>
      <w:r w:rsidR="005908F6" w:rsidRPr="005908F6">
        <w:rPr>
          <w:rFonts w:ascii="Palatino Linotype" w:hAnsi="Palatino Linotype"/>
          <w:szCs w:val="24"/>
        </w:rPr>
        <w:t xml:space="preserve">  </w:t>
      </w:r>
    </w:p>
    <w:p w14:paraId="59357C0F" w14:textId="300C3C29" w:rsidR="00721219" w:rsidRPr="00E5008D" w:rsidRDefault="005B6CB5" w:rsidP="00E5008D">
      <w:pPr>
        <w:spacing w:line="360" w:lineRule="auto"/>
        <w:ind w:firstLine="720"/>
        <w:jc w:val="both"/>
        <w:rPr>
          <w:rFonts w:ascii="Palatino Linotype" w:hAnsi="Palatino Linotype"/>
          <w:szCs w:val="24"/>
        </w:rPr>
      </w:pPr>
      <w:r>
        <w:rPr>
          <w:rFonts w:ascii="Palatino Linotype" w:hAnsi="Palatino Linotype"/>
          <w:szCs w:val="24"/>
        </w:rPr>
        <w:t xml:space="preserve">Though Virginians have been reluctant to join regional initiatives and </w:t>
      </w:r>
      <w:r w:rsidR="00D50E15">
        <w:rPr>
          <w:rFonts w:ascii="Palatino Linotype" w:hAnsi="Palatino Linotype"/>
          <w:szCs w:val="24"/>
        </w:rPr>
        <w:t xml:space="preserve">accords, the Commonwealth of Virginia has </w:t>
      </w:r>
      <w:r w:rsidR="00721219">
        <w:rPr>
          <w:rFonts w:ascii="Palatino Linotype" w:hAnsi="Palatino Linotype"/>
          <w:szCs w:val="24"/>
        </w:rPr>
        <w:t xml:space="preserve">devoted a significant amount of legislative effort to </w:t>
      </w:r>
      <w:r w:rsidR="00D14142">
        <w:rPr>
          <w:rFonts w:ascii="Palatino Linotype" w:hAnsi="Palatino Linotype"/>
          <w:szCs w:val="24"/>
        </w:rPr>
        <w:t xml:space="preserve">climate </w:t>
      </w:r>
      <w:r w:rsidR="00721219">
        <w:rPr>
          <w:rFonts w:ascii="Palatino Linotype" w:hAnsi="Palatino Linotype"/>
          <w:szCs w:val="24"/>
        </w:rPr>
        <w:t xml:space="preserve">prevention efforts, mostly at the local level. </w:t>
      </w:r>
      <w:r w:rsidR="0042041A">
        <w:rPr>
          <w:rFonts w:ascii="Palatino Linotype" w:hAnsi="Palatino Linotype"/>
          <w:szCs w:val="24"/>
        </w:rPr>
        <w:t>For example</w:t>
      </w:r>
      <w:r w:rsidR="00721219">
        <w:rPr>
          <w:rFonts w:ascii="Palatino Linotype" w:hAnsi="Palatino Linotype"/>
          <w:szCs w:val="24"/>
        </w:rPr>
        <w:t xml:space="preserve">, in 2018 the city of Norfolk, </w:t>
      </w:r>
      <w:r w:rsidR="00886047">
        <w:rPr>
          <w:rFonts w:ascii="Palatino Linotype" w:hAnsi="Palatino Linotype"/>
          <w:szCs w:val="24"/>
        </w:rPr>
        <w:t xml:space="preserve">Virginia </w:t>
      </w:r>
      <w:r w:rsidR="00721219">
        <w:rPr>
          <w:rFonts w:ascii="Palatino Linotype" w:hAnsi="Palatino Linotype"/>
          <w:szCs w:val="24"/>
        </w:rPr>
        <w:t>made massive changes to building code</w:t>
      </w:r>
      <w:r w:rsidR="00886047">
        <w:rPr>
          <w:rFonts w:ascii="Palatino Linotype" w:hAnsi="Palatino Linotype"/>
          <w:szCs w:val="24"/>
        </w:rPr>
        <w:t>s</w:t>
      </w:r>
      <w:r w:rsidR="00721219">
        <w:rPr>
          <w:rFonts w:ascii="Palatino Linotype" w:hAnsi="Palatino Linotype"/>
          <w:szCs w:val="24"/>
        </w:rPr>
        <w:t xml:space="preserve"> in flood-prone areas (which are projected to increase in their likelihood of flooding due to climate change) and took steps to purchase homes and property in flood-prone areas.</w:t>
      </w:r>
      <w:r w:rsidR="00783D26">
        <w:rPr>
          <w:rFonts w:ascii="Palatino Linotype" w:hAnsi="Palatino Linotype"/>
          <w:szCs w:val="24"/>
        </w:rPr>
        <w:t xml:space="preserve"> </w:t>
      </w:r>
      <w:r w:rsidR="00A62441">
        <w:rPr>
          <w:rFonts w:ascii="Palatino Linotype" w:hAnsi="Palatino Linotype"/>
          <w:szCs w:val="24"/>
        </w:rPr>
        <w:t>At an estimated cost</w:t>
      </w:r>
      <w:r w:rsidR="00773B3A">
        <w:rPr>
          <w:rFonts w:ascii="Palatino Linotype" w:hAnsi="Palatino Linotype"/>
          <w:szCs w:val="24"/>
        </w:rPr>
        <w:t xml:space="preserve"> of $112</w:t>
      </w:r>
      <w:r w:rsidR="00886047">
        <w:rPr>
          <w:rFonts w:ascii="Palatino Linotype" w:hAnsi="Palatino Linotype"/>
          <w:szCs w:val="24"/>
        </w:rPr>
        <w:t xml:space="preserve"> million</w:t>
      </w:r>
      <w:r w:rsidR="00773B3A">
        <w:rPr>
          <w:rFonts w:ascii="Palatino Linotype" w:hAnsi="Palatino Linotype"/>
          <w:szCs w:val="24"/>
        </w:rPr>
        <w:t xml:space="preserve">, </w:t>
      </w:r>
      <w:r w:rsidR="005C1809">
        <w:rPr>
          <w:rFonts w:ascii="Palatino Linotype" w:hAnsi="Palatino Linotype"/>
          <w:szCs w:val="24"/>
        </w:rPr>
        <w:t xml:space="preserve">Norfolk </w:t>
      </w:r>
      <w:r w:rsidR="00B64EC5">
        <w:rPr>
          <w:rFonts w:ascii="Palatino Linotype" w:hAnsi="Palatino Linotype"/>
          <w:szCs w:val="24"/>
        </w:rPr>
        <w:t xml:space="preserve">plans to construct </w:t>
      </w:r>
      <w:r w:rsidR="005C1809">
        <w:rPr>
          <w:rFonts w:ascii="Palatino Linotype" w:hAnsi="Palatino Linotype"/>
          <w:szCs w:val="24"/>
        </w:rPr>
        <w:t>additional berms</w:t>
      </w:r>
      <w:r w:rsidR="003C1E3B">
        <w:rPr>
          <w:rFonts w:ascii="Palatino Linotype" w:hAnsi="Palatino Linotype"/>
          <w:szCs w:val="24"/>
        </w:rPr>
        <w:t>, basins</w:t>
      </w:r>
      <w:r w:rsidR="00D6634E">
        <w:rPr>
          <w:rFonts w:ascii="Palatino Linotype" w:hAnsi="Palatino Linotype"/>
          <w:szCs w:val="24"/>
        </w:rPr>
        <w:t>,</w:t>
      </w:r>
      <w:r w:rsidR="00B64EC5">
        <w:rPr>
          <w:rFonts w:ascii="Palatino Linotype" w:hAnsi="Palatino Linotype"/>
          <w:szCs w:val="24"/>
        </w:rPr>
        <w:t xml:space="preserve"> </w:t>
      </w:r>
      <w:r w:rsidR="005C1809">
        <w:rPr>
          <w:rFonts w:ascii="Palatino Linotype" w:hAnsi="Palatino Linotype"/>
          <w:szCs w:val="24"/>
        </w:rPr>
        <w:t xml:space="preserve">and other </w:t>
      </w:r>
      <w:r w:rsidR="00521157">
        <w:rPr>
          <w:rFonts w:ascii="Palatino Linotype" w:hAnsi="Palatino Linotype"/>
          <w:szCs w:val="24"/>
        </w:rPr>
        <w:t xml:space="preserve">water </w:t>
      </w:r>
      <w:r w:rsidR="00860ED3">
        <w:rPr>
          <w:rFonts w:ascii="Palatino Linotype" w:hAnsi="Palatino Linotype"/>
          <w:szCs w:val="24"/>
        </w:rPr>
        <w:t>dispersion mechanisms</w:t>
      </w:r>
      <w:r w:rsidR="00B64EC5">
        <w:rPr>
          <w:rFonts w:ascii="Palatino Linotype" w:hAnsi="Palatino Linotype"/>
          <w:szCs w:val="24"/>
        </w:rPr>
        <w:t xml:space="preserve"> to quell rising sea levels. </w:t>
      </w:r>
      <w:r w:rsidR="00721219">
        <w:rPr>
          <w:rFonts w:ascii="Palatino Linotype" w:hAnsi="Palatino Linotype"/>
          <w:szCs w:val="24"/>
        </w:rPr>
        <w:t xml:space="preserve">Norfolk is expecting two and a half feet of </w:t>
      </w:r>
      <w:r w:rsidR="00D6634E">
        <w:rPr>
          <w:rFonts w:ascii="Palatino Linotype" w:hAnsi="Palatino Linotype"/>
          <w:szCs w:val="24"/>
        </w:rPr>
        <w:t>sea-</w:t>
      </w:r>
      <w:r w:rsidR="00721219">
        <w:rPr>
          <w:rFonts w:ascii="Palatino Linotype" w:hAnsi="Palatino Linotype"/>
          <w:szCs w:val="24"/>
        </w:rPr>
        <w:t>level rise over the next 50 years.</w:t>
      </w:r>
      <w:r w:rsidR="002D4A3B">
        <w:rPr>
          <w:rStyle w:val="FootnoteReference"/>
          <w:rFonts w:ascii="Palatino Linotype" w:hAnsi="Palatino Linotype"/>
          <w:szCs w:val="24"/>
        </w:rPr>
        <w:footnoteReference w:customMarkFollows="1" w:id="28"/>
        <w:t>27</w:t>
      </w:r>
    </w:p>
    <w:p w14:paraId="41EC33F2" w14:textId="0957919F" w:rsidR="009C434B" w:rsidRDefault="00564F01" w:rsidP="0095445D">
      <w:pPr>
        <w:spacing w:line="360" w:lineRule="auto"/>
        <w:ind w:firstLine="720"/>
        <w:jc w:val="both"/>
        <w:rPr>
          <w:rFonts w:ascii="Palatino Linotype" w:hAnsi="Palatino Linotype"/>
          <w:szCs w:val="24"/>
        </w:rPr>
      </w:pPr>
      <w:r>
        <w:rPr>
          <w:rFonts w:ascii="Palatino Linotype" w:hAnsi="Palatino Linotype"/>
          <w:szCs w:val="24"/>
        </w:rPr>
        <w:t xml:space="preserve">In September 2019, </w:t>
      </w:r>
      <w:r w:rsidR="00721219">
        <w:rPr>
          <w:rFonts w:ascii="Palatino Linotype" w:hAnsi="Palatino Linotype"/>
          <w:szCs w:val="24"/>
        </w:rPr>
        <w:t>Virginia</w:t>
      </w:r>
      <w:r>
        <w:rPr>
          <w:rFonts w:ascii="Palatino Linotype" w:hAnsi="Palatino Linotype"/>
          <w:szCs w:val="24"/>
        </w:rPr>
        <w:t xml:space="preserve"> Governor Ralph Northam </w:t>
      </w:r>
      <w:r w:rsidR="00FC661A">
        <w:rPr>
          <w:rFonts w:ascii="Palatino Linotype" w:hAnsi="Palatino Linotype"/>
          <w:szCs w:val="24"/>
        </w:rPr>
        <w:t xml:space="preserve">signed an executive order setting a goal for the state to produce </w:t>
      </w:r>
      <w:r w:rsidR="0061504F">
        <w:rPr>
          <w:rFonts w:ascii="Palatino Linotype" w:hAnsi="Palatino Linotype"/>
          <w:szCs w:val="24"/>
        </w:rPr>
        <w:t xml:space="preserve">100% of its electricity from carbon-free sources </w:t>
      </w:r>
      <w:r w:rsidR="00EA01DE">
        <w:rPr>
          <w:rFonts w:ascii="Palatino Linotype" w:hAnsi="Palatino Linotype"/>
          <w:szCs w:val="24"/>
        </w:rPr>
        <w:t>by 2050.</w:t>
      </w:r>
      <w:r w:rsidR="00721219">
        <w:rPr>
          <w:rFonts w:ascii="Palatino Linotype" w:hAnsi="Palatino Linotype"/>
          <w:szCs w:val="24"/>
        </w:rPr>
        <w:t xml:space="preserve"> With the executive order, the Governor also set intermediate goals of powering 30% of the state’s electric system with carbon-free sources by 2030 and procuring 30% of electricity from renewable sources by 2022.</w:t>
      </w:r>
      <w:r w:rsidR="002D4A3B">
        <w:rPr>
          <w:rStyle w:val="FootnoteReference"/>
          <w:rFonts w:ascii="Palatino Linotype" w:hAnsi="Palatino Linotype"/>
          <w:szCs w:val="24"/>
        </w:rPr>
        <w:footnoteReference w:customMarkFollows="1" w:id="29"/>
        <w:t>28</w:t>
      </w:r>
      <w:r w:rsidR="00721219">
        <w:rPr>
          <w:rFonts w:ascii="Palatino Linotype" w:hAnsi="Palatino Linotype"/>
          <w:szCs w:val="24"/>
        </w:rPr>
        <w:t xml:space="preserve"> </w:t>
      </w:r>
      <w:r w:rsidR="00EA01DE">
        <w:rPr>
          <w:rFonts w:ascii="Palatino Linotype" w:hAnsi="Palatino Linotype"/>
          <w:szCs w:val="24"/>
        </w:rPr>
        <w:t xml:space="preserve"> </w:t>
      </w:r>
    </w:p>
    <w:p w14:paraId="7A3D3659" w14:textId="5C63489D" w:rsidR="009C434B" w:rsidRDefault="009C434B" w:rsidP="0095445D">
      <w:pPr>
        <w:spacing w:line="360" w:lineRule="auto"/>
        <w:ind w:firstLine="720"/>
        <w:jc w:val="both"/>
        <w:rPr>
          <w:rFonts w:ascii="Palatino Linotype" w:hAnsi="Palatino Linotype"/>
          <w:szCs w:val="24"/>
        </w:rPr>
      </w:pPr>
      <w:r w:rsidRPr="003A2FC0">
        <w:rPr>
          <w:rFonts w:ascii="Palatino Linotype" w:hAnsi="Palatino Linotype"/>
          <w:szCs w:val="24"/>
        </w:rPr>
        <w:lastRenderedPageBreak/>
        <w:t xml:space="preserve">In April 2020, </w:t>
      </w:r>
      <w:r w:rsidR="0095445D" w:rsidRPr="003A2FC0">
        <w:rPr>
          <w:rFonts w:ascii="Palatino Linotype" w:hAnsi="Palatino Linotype"/>
          <w:szCs w:val="24"/>
        </w:rPr>
        <w:t>the Virginia Clean Economy Act was signed into law, furthering the ambitious goals set by the executive order signed by Governor Northam in 2019.</w:t>
      </w:r>
      <w:r w:rsidR="002D4A3B">
        <w:rPr>
          <w:rStyle w:val="FootnoteReference"/>
          <w:rFonts w:ascii="Palatino Linotype" w:hAnsi="Palatino Linotype"/>
          <w:szCs w:val="24"/>
        </w:rPr>
        <w:footnoteReference w:customMarkFollows="1" w:id="30"/>
        <w:t>29</w:t>
      </w:r>
      <w:r w:rsidR="0095445D" w:rsidRPr="003A2FC0">
        <w:rPr>
          <w:rFonts w:ascii="Palatino Linotype" w:hAnsi="Palatino Linotype"/>
          <w:szCs w:val="24"/>
        </w:rPr>
        <w:t xml:space="preserve"> The Act requires the majority of the Virginian coal power plants to be shuttered by 2030.</w:t>
      </w:r>
      <w:r w:rsidR="002D4A3B">
        <w:rPr>
          <w:rStyle w:val="FootnoteReference"/>
          <w:rFonts w:ascii="Palatino Linotype" w:hAnsi="Palatino Linotype"/>
          <w:szCs w:val="24"/>
        </w:rPr>
        <w:footnoteReference w:customMarkFollows="1" w:id="31"/>
        <w:t>30</w:t>
      </w:r>
      <w:r w:rsidR="0095445D" w:rsidRPr="003A2FC0">
        <w:rPr>
          <w:rFonts w:ascii="Palatino Linotype" w:hAnsi="Palatino Linotype"/>
          <w:szCs w:val="24"/>
        </w:rPr>
        <w:t xml:space="preserve"> Additionally, the Act mandates that electric and gas plants that produce GHG emissions be shut down by 2045.</w:t>
      </w:r>
      <w:r w:rsidR="002D4A3B">
        <w:rPr>
          <w:rStyle w:val="FootnoteReference"/>
          <w:rFonts w:ascii="Palatino Linotype" w:hAnsi="Palatino Linotype"/>
          <w:szCs w:val="24"/>
        </w:rPr>
        <w:footnoteReference w:customMarkFollows="1" w:id="32"/>
        <w:t>31</w:t>
      </w:r>
      <w:r w:rsidR="0095445D" w:rsidRPr="003A2FC0">
        <w:rPr>
          <w:rFonts w:ascii="Palatino Linotype" w:hAnsi="Palatino Linotype"/>
          <w:szCs w:val="24"/>
        </w:rPr>
        <w:t xml:space="preserve"> A</w:t>
      </w:r>
      <w:r w:rsidR="00261856" w:rsidRPr="003A2FC0">
        <w:rPr>
          <w:rFonts w:ascii="Palatino Linotype" w:hAnsi="Palatino Linotype"/>
          <w:szCs w:val="24"/>
        </w:rPr>
        <w:t>lso</w:t>
      </w:r>
      <w:r w:rsidR="0095445D" w:rsidRPr="003A2FC0">
        <w:rPr>
          <w:rFonts w:ascii="Palatino Linotype" w:hAnsi="Palatino Linotype"/>
          <w:szCs w:val="24"/>
        </w:rPr>
        <w:t xml:space="preserve"> required</w:t>
      </w:r>
      <w:r w:rsidR="00261856" w:rsidRPr="003A2FC0">
        <w:rPr>
          <w:rFonts w:ascii="Palatino Linotype" w:hAnsi="Palatino Linotype"/>
          <w:szCs w:val="24"/>
        </w:rPr>
        <w:t xml:space="preserve"> under the law</w:t>
      </w:r>
      <w:r w:rsidR="0095445D" w:rsidRPr="003A2FC0">
        <w:rPr>
          <w:rFonts w:ascii="Palatino Linotype" w:hAnsi="Palatino Linotype"/>
          <w:szCs w:val="24"/>
        </w:rPr>
        <w:t>, Virginia must reach 4</w:t>
      </w:r>
      <w:r w:rsidR="0095445D" w:rsidRPr="00443857">
        <w:rPr>
          <w:rFonts w:ascii="Palatino Linotype" w:hAnsi="Palatino Linotype"/>
          <w:szCs w:val="24"/>
        </w:rPr>
        <w:t>1 percent renewable power by 2030 and 100 percent renewable power by 2045.</w:t>
      </w:r>
      <w:r w:rsidR="009A7839">
        <w:rPr>
          <w:rStyle w:val="FootnoteReference"/>
          <w:rFonts w:ascii="Palatino Linotype" w:hAnsi="Palatino Linotype"/>
          <w:szCs w:val="24"/>
        </w:rPr>
        <w:footnoteReference w:customMarkFollows="1" w:id="33"/>
        <w:t>32</w:t>
      </w:r>
      <w:r w:rsidR="0095445D" w:rsidRPr="00B53488">
        <w:rPr>
          <w:rFonts w:ascii="Palatino Linotype" w:hAnsi="Palatino Linotype"/>
          <w:szCs w:val="24"/>
        </w:rPr>
        <w:t xml:space="preserve"> </w:t>
      </w:r>
      <w:r w:rsidR="00BE44B9" w:rsidRPr="005C0B90">
        <w:t xml:space="preserve"> </w:t>
      </w:r>
      <w:r w:rsidR="00BE44B9" w:rsidRPr="003A2FC0">
        <w:rPr>
          <w:rFonts w:ascii="Palatino Linotype" w:hAnsi="Palatino Linotype"/>
          <w:szCs w:val="24"/>
        </w:rPr>
        <w:t>The “Clean Economy</w:t>
      </w:r>
      <w:r w:rsidR="003A2FC0" w:rsidRPr="003A2FC0">
        <w:rPr>
          <w:rFonts w:ascii="Palatino Linotype" w:hAnsi="Palatino Linotype"/>
          <w:szCs w:val="24"/>
        </w:rPr>
        <w:t xml:space="preserve"> Act</w:t>
      </w:r>
      <w:r w:rsidR="00BE44B9" w:rsidRPr="003A2FC0">
        <w:rPr>
          <w:rFonts w:ascii="Palatino Linotype" w:hAnsi="Palatino Linotype"/>
          <w:szCs w:val="24"/>
        </w:rPr>
        <w:t xml:space="preserve">” and other measures passed by the General Assembly </w:t>
      </w:r>
      <w:r w:rsidR="003A2FC0" w:rsidRPr="003A2FC0">
        <w:rPr>
          <w:rFonts w:ascii="Palatino Linotype" w:hAnsi="Palatino Linotype"/>
          <w:szCs w:val="24"/>
        </w:rPr>
        <w:t xml:space="preserve">to reduce carbon emissions in the power sector </w:t>
      </w:r>
      <w:r w:rsidR="00BE44B9" w:rsidRPr="003A2FC0">
        <w:rPr>
          <w:rFonts w:ascii="Palatino Linotype" w:hAnsi="Palatino Linotype"/>
          <w:szCs w:val="24"/>
        </w:rPr>
        <w:t>and signed into law are estimated to eventually cost Virginians between $771.24 and $807.84 per year in additional residential electricity costs.</w:t>
      </w:r>
      <w:r w:rsidR="009A7839">
        <w:rPr>
          <w:rStyle w:val="FootnoteReference"/>
          <w:rFonts w:ascii="Palatino Linotype" w:hAnsi="Palatino Linotype"/>
          <w:szCs w:val="24"/>
        </w:rPr>
        <w:footnoteReference w:customMarkFollows="1" w:id="34"/>
        <w:t>33</w:t>
      </w:r>
      <w:r w:rsidR="00BE44B9" w:rsidRPr="003A2FC0">
        <w:rPr>
          <w:rFonts w:ascii="Palatino Linotype" w:hAnsi="Palatino Linotype"/>
          <w:szCs w:val="24"/>
        </w:rPr>
        <w:t xml:space="preserve">  </w:t>
      </w:r>
    </w:p>
    <w:p w14:paraId="3C074F71" w14:textId="4DE46D4B" w:rsidR="00A44AC6" w:rsidRPr="00A44AC6" w:rsidRDefault="00A44AC6" w:rsidP="0095445D">
      <w:pPr>
        <w:spacing w:line="360" w:lineRule="auto"/>
        <w:ind w:firstLine="720"/>
        <w:jc w:val="both"/>
        <w:rPr>
          <w:rFonts w:ascii="Palatino Linotype" w:hAnsi="Palatino Linotype"/>
          <w:szCs w:val="24"/>
        </w:rPr>
      </w:pPr>
      <w:r w:rsidRPr="00A44AC6">
        <w:rPr>
          <w:rFonts w:ascii="Palatino Linotype" w:hAnsi="Palatino Linotype"/>
          <w:szCs w:val="24"/>
        </w:rPr>
        <w:t>Passed on April 22, 2020, House Bill (H.B) 1541 creates the Central Virginia Transportation Authority (VCTA).</w:t>
      </w:r>
      <w:r w:rsidR="009A7839">
        <w:rPr>
          <w:rStyle w:val="FootnoteReference"/>
          <w:rFonts w:ascii="Palatino Linotype" w:hAnsi="Palatino Linotype"/>
          <w:szCs w:val="24"/>
        </w:rPr>
        <w:footnoteReference w:customMarkFollows="1" w:id="35"/>
        <w:t>34</w:t>
      </w:r>
      <w:r w:rsidRPr="00A44AC6">
        <w:rPr>
          <w:rFonts w:ascii="Palatino Linotype" w:hAnsi="Palatino Linotype"/>
          <w:szCs w:val="24"/>
        </w:rPr>
        <w:t xml:space="preserve"> </w:t>
      </w:r>
      <w:r w:rsidR="00261856">
        <w:rPr>
          <w:rFonts w:ascii="Palatino Linotype" w:hAnsi="Palatino Linotype"/>
          <w:szCs w:val="24"/>
        </w:rPr>
        <w:t xml:space="preserve"> </w:t>
      </w:r>
      <w:r w:rsidRPr="00A44AC6">
        <w:rPr>
          <w:rFonts w:ascii="Palatino Linotype" w:hAnsi="Palatino Linotype"/>
          <w:szCs w:val="24"/>
        </w:rPr>
        <w:t xml:space="preserve">The bill establishes a wholesale tax on gasoline of 7.6 cents </w:t>
      </w:r>
      <w:r w:rsidR="00E5414A">
        <w:rPr>
          <w:rFonts w:ascii="Palatino Linotype" w:hAnsi="Palatino Linotype"/>
          <w:szCs w:val="24"/>
        </w:rPr>
        <w:t xml:space="preserve">per gallon </w:t>
      </w:r>
      <w:r w:rsidRPr="00A44AC6">
        <w:rPr>
          <w:rFonts w:ascii="Palatino Linotype" w:hAnsi="Palatino Linotype"/>
          <w:szCs w:val="24"/>
        </w:rPr>
        <w:t xml:space="preserve">and 7.7 cents per </w:t>
      </w:r>
      <w:r w:rsidR="00E5414A">
        <w:rPr>
          <w:rFonts w:ascii="Palatino Linotype" w:hAnsi="Palatino Linotype"/>
          <w:szCs w:val="24"/>
        </w:rPr>
        <w:t xml:space="preserve">gallon </w:t>
      </w:r>
      <w:r w:rsidRPr="00A44AC6">
        <w:rPr>
          <w:rFonts w:ascii="Palatino Linotype" w:hAnsi="Palatino Linotype"/>
          <w:szCs w:val="24"/>
        </w:rPr>
        <w:t>of diesel fuel in Virginia.</w:t>
      </w:r>
      <w:r w:rsidR="009A7839">
        <w:rPr>
          <w:rStyle w:val="FootnoteReference"/>
          <w:rFonts w:ascii="Palatino Linotype" w:hAnsi="Palatino Linotype"/>
          <w:szCs w:val="24"/>
        </w:rPr>
        <w:footnoteReference w:customMarkFollows="1" w:id="36"/>
        <w:t>35</w:t>
      </w:r>
      <w:r w:rsidRPr="00A44AC6">
        <w:rPr>
          <w:rFonts w:ascii="Palatino Linotype" w:hAnsi="Palatino Linotype"/>
          <w:szCs w:val="24"/>
        </w:rPr>
        <w:t xml:space="preserve"> The tax would then be indexed for inflation each year </w:t>
      </w:r>
      <w:r w:rsidR="00886047">
        <w:rPr>
          <w:rFonts w:ascii="Palatino Linotype" w:hAnsi="Palatino Linotype"/>
          <w:szCs w:val="24"/>
        </w:rPr>
        <w:t>after</w:t>
      </w:r>
      <w:r w:rsidR="00886047" w:rsidRPr="00A44AC6">
        <w:rPr>
          <w:rFonts w:ascii="Palatino Linotype" w:hAnsi="Palatino Linotype"/>
          <w:szCs w:val="24"/>
        </w:rPr>
        <w:t xml:space="preserve"> </w:t>
      </w:r>
      <w:r w:rsidRPr="00A44AC6">
        <w:rPr>
          <w:rFonts w:ascii="Palatino Linotype" w:hAnsi="Palatino Linotype"/>
          <w:szCs w:val="24"/>
        </w:rPr>
        <w:t>the first year of the imposition of the tax.</w:t>
      </w:r>
      <w:r w:rsidR="009A7839">
        <w:rPr>
          <w:rStyle w:val="FootnoteReference"/>
          <w:rFonts w:ascii="Palatino Linotype" w:hAnsi="Palatino Linotype"/>
          <w:szCs w:val="24"/>
        </w:rPr>
        <w:footnoteReference w:customMarkFollows="1" w:id="37"/>
        <w:t>36</w:t>
      </w:r>
      <w:r w:rsidRPr="00A44AC6">
        <w:rPr>
          <w:rFonts w:ascii="Palatino Linotype" w:hAnsi="Palatino Linotype"/>
          <w:szCs w:val="24"/>
        </w:rPr>
        <w:t xml:space="preserve"> </w:t>
      </w:r>
      <w:r w:rsidR="00886047">
        <w:rPr>
          <w:rFonts w:ascii="Palatino Linotype" w:hAnsi="Palatino Linotype"/>
          <w:szCs w:val="24"/>
        </w:rPr>
        <w:t xml:space="preserve">The bill requires </w:t>
      </w:r>
      <w:r w:rsidRPr="00A44AC6">
        <w:rPr>
          <w:rFonts w:ascii="Palatino Linotype" w:hAnsi="Palatino Linotype"/>
          <w:szCs w:val="24"/>
        </w:rPr>
        <w:t xml:space="preserve"> “a local maintenance of effort for transit funding of at least 50 percent of what was provided on July 1, 2020, with such amount to be indexed beginning in 2023.” The Authority will oversee the direction of funds generated under the new tax.</w:t>
      </w:r>
      <w:r w:rsidR="009A7839">
        <w:rPr>
          <w:rStyle w:val="FootnoteReference"/>
          <w:rFonts w:ascii="Palatino Linotype" w:hAnsi="Palatino Linotype"/>
          <w:szCs w:val="24"/>
        </w:rPr>
        <w:footnoteReference w:customMarkFollows="1" w:id="38"/>
        <w:t>37</w:t>
      </w:r>
      <w:r w:rsidRPr="00A44AC6">
        <w:rPr>
          <w:rFonts w:ascii="Palatino Linotype" w:hAnsi="Palatino Linotype"/>
          <w:szCs w:val="24"/>
        </w:rPr>
        <w:t xml:space="preserve"> </w:t>
      </w:r>
    </w:p>
    <w:p w14:paraId="7F7F6901" w14:textId="606CC8C9" w:rsidR="00A44AC6" w:rsidRPr="00A44AC6" w:rsidRDefault="00A44AC6" w:rsidP="00A44AC6">
      <w:pPr>
        <w:spacing w:line="360" w:lineRule="auto"/>
        <w:ind w:firstLine="720"/>
        <w:jc w:val="both"/>
        <w:rPr>
          <w:rFonts w:ascii="Palatino Linotype" w:hAnsi="Palatino Linotype"/>
          <w:szCs w:val="24"/>
        </w:rPr>
      </w:pPr>
      <w:r w:rsidRPr="00A44AC6">
        <w:rPr>
          <w:rFonts w:ascii="Palatino Linotype" w:hAnsi="Palatino Linotype"/>
          <w:szCs w:val="24"/>
        </w:rPr>
        <w:t>A separate transportation bill, HB 1414, was also passed on April 22, 2020. The bill makes a variety of changes to transportation laws in Virginia.</w:t>
      </w:r>
      <w:r w:rsidR="009A7839">
        <w:rPr>
          <w:rStyle w:val="FootnoteReference"/>
          <w:rFonts w:ascii="Palatino Linotype" w:hAnsi="Palatino Linotype"/>
          <w:szCs w:val="24"/>
        </w:rPr>
        <w:footnoteReference w:customMarkFollows="1" w:id="39"/>
        <w:t>38</w:t>
      </w:r>
      <w:r w:rsidRPr="00A44AC6">
        <w:rPr>
          <w:rFonts w:ascii="Palatino Linotype" w:hAnsi="Palatino Linotype"/>
          <w:szCs w:val="24"/>
        </w:rPr>
        <w:t xml:space="preserve"> Under the bill, </w:t>
      </w:r>
      <w:r w:rsidR="00886047">
        <w:rPr>
          <w:rFonts w:ascii="Palatino Linotype" w:hAnsi="Palatino Linotype"/>
          <w:szCs w:val="24"/>
        </w:rPr>
        <w:t>a</w:t>
      </w:r>
      <w:r w:rsidR="00886047" w:rsidRPr="00A44AC6">
        <w:rPr>
          <w:rFonts w:ascii="Palatino Linotype" w:hAnsi="Palatino Linotype"/>
          <w:szCs w:val="24"/>
        </w:rPr>
        <w:t xml:space="preserve"> </w:t>
      </w:r>
      <w:r w:rsidRPr="00A44AC6">
        <w:rPr>
          <w:rFonts w:ascii="Palatino Linotype" w:hAnsi="Palatino Linotype"/>
          <w:szCs w:val="24"/>
        </w:rPr>
        <w:lastRenderedPageBreak/>
        <w:t>regionwide wholesale tax on gasoline and diesel fuel will be imposed on a statewide basis.</w:t>
      </w:r>
      <w:r w:rsidR="009A7839">
        <w:rPr>
          <w:rStyle w:val="FootnoteReference"/>
          <w:rFonts w:ascii="Palatino Linotype" w:hAnsi="Palatino Linotype"/>
          <w:szCs w:val="24"/>
        </w:rPr>
        <w:footnoteReference w:customMarkFollows="1" w:id="40"/>
        <w:t>39</w:t>
      </w:r>
      <w:r w:rsidRPr="00A44AC6">
        <w:rPr>
          <w:rFonts w:ascii="Palatino Linotype" w:hAnsi="Palatino Linotype"/>
          <w:szCs w:val="24"/>
        </w:rPr>
        <w:t xml:space="preserve"> Additionally, the bill establishes a cents per gallon tax on motor fuels and stipulates that the tax will no longer be imposed as a percentage of the wholesale price of gasoline and diesel.</w:t>
      </w:r>
      <w:r w:rsidR="009A7839">
        <w:rPr>
          <w:rStyle w:val="FootnoteReference"/>
          <w:rFonts w:ascii="Palatino Linotype" w:hAnsi="Palatino Linotype"/>
          <w:szCs w:val="24"/>
        </w:rPr>
        <w:footnoteReference w:customMarkFollows="1" w:id="41"/>
        <w:t>40</w:t>
      </w:r>
      <w:r w:rsidRPr="00A44AC6">
        <w:rPr>
          <w:rFonts w:ascii="Palatino Linotype" w:hAnsi="Palatino Linotype"/>
          <w:szCs w:val="24"/>
        </w:rPr>
        <w:t xml:space="preserve"> According to the bill</w:t>
      </w:r>
      <w:r w:rsidR="00886047">
        <w:rPr>
          <w:rFonts w:ascii="Palatino Linotype" w:hAnsi="Palatino Linotype"/>
          <w:szCs w:val="24"/>
        </w:rPr>
        <w:t>,</w:t>
      </w:r>
      <w:r w:rsidRPr="00A44AC6">
        <w:rPr>
          <w:rFonts w:ascii="Palatino Linotype" w:hAnsi="Palatino Linotype"/>
          <w:szCs w:val="24"/>
        </w:rPr>
        <w:t xml:space="preserve"> “Most transportation revenues are directed to a new Commonwealth Transportation Fund and the existing Highway Maintenance and Operating Fund. Funds are then disbursed, based on codified formulas, to </w:t>
      </w:r>
      <w:r w:rsidR="00D6634E" w:rsidRPr="00A44AC6">
        <w:rPr>
          <w:rFonts w:ascii="Palatino Linotype" w:hAnsi="Palatino Linotype"/>
          <w:szCs w:val="24"/>
        </w:rPr>
        <w:t>sub</w:t>
      </w:r>
      <w:r w:rsidR="00D6634E">
        <w:rPr>
          <w:rFonts w:ascii="Palatino Linotype" w:hAnsi="Palatino Linotype"/>
          <w:szCs w:val="24"/>
        </w:rPr>
        <w:t>-</w:t>
      </w:r>
      <w:r w:rsidRPr="00A44AC6">
        <w:rPr>
          <w:rFonts w:ascii="Palatino Linotype" w:hAnsi="Palatino Linotype"/>
          <w:szCs w:val="24"/>
        </w:rPr>
        <w:t xml:space="preserve">funds established to meet the varying transportation needs of different modes of transportation.” </w:t>
      </w:r>
    </w:p>
    <w:p w14:paraId="2DAFEE51" w14:textId="77777777" w:rsidR="00A44AC6" w:rsidRDefault="00A44AC6" w:rsidP="000B2682">
      <w:pPr>
        <w:spacing w:line="360" w:lineRule="auto"/>
        <w:ind w:firstLine="720"/>
        <w:jc w:val="both"/>
        <w:rPr>
          <w:rFonts w:ascii="Palatino Linotype" w:hAnsi="Palatino Linotype"/>
          <w:szCs w:val="24"/>
        </w:rPr>
      </w:pPr>
    </w:p>
    <w:p w14:paraId="1DDEC15B" w14:textId="2C893F44" w:rsidR="00367109" w:rsidRPr="004141D8" w:rsidRDefault="00721219" w:rsidP="00006AE8">
      <w:pPr>
        <w:pStyle w:val="Heading1"/>
        <w:rPr>
          <w:rFonts w:ascii="Palatino Linotype" w:hAnsi="Palatino Linotype"/>
          <w:b/>
          <w:noProof/>
          <w:color w:val="000000" w:themeColor="text1"/>
          <w:sz w:val="32"/>
          <w:szCs w:val="32"/>
        </w:rPr>
      </w:pPr>
      <w:bookmarkStart w:id="10" w:name="_Toc31710868"/>
      <w:bookmarkStart w:id="11" w:name="_Toc55394587"/>
      <w:r>
        <w:rPr>
          <w:rFonts w:ascii="Palatino Linotype" w:hAnsi="Palatino Linotype"/>
          <w:b/>
          <w:noProof/>
          <w:color w:val="000000" w:themeColor="text1"/>
          <w:sz w:val="32"/>
          <w:szCs w:val="32"/>
        </w:rPr>
        <w:t>Virginia</w:t>
      </w:r>
      <w:r w:rsidR="00063782">
        <w:rPr>
          <w:rFonts w:ascii="Palatino Linotype" w:hAnsi="Palatino Linotype"/>
          <w:b/>
          <w:noProof/>
          <w:color w:val="000000" w:themeColor="text1"/>
          <w:sz w:val="32"/>
          <w:szCs w:val="32"/>
        </w:rPr>
        <w:t xml:space="preserve"> </w:t>
      </w:r>
      <w:r w:rsidR="00A3489F" w:rsidRPr="004141D8">
        <w:rPr>
          <w:rFonts w:ascii="Palatino Linotype" w:hAnsi="Palatino Linotype"/>
          <w:b/>
          <w:noProof/>
          <w:color w:val="000000" w:themeColor="text1"/>
          <w:sz w:val="32"/>
          <w:szCs w:val="32"/>
        </w:rPr>
        <w:t xml:space="preserve">Carbon Emissions </w:t>
      </w:r>
      <w:r w:rsidR="0068454E" w:rsidRPr="004141D8">
        <w:rPr>
          <w:rFonts w:ascii="Palatino Linotype" w:hAnsi="Palatino Linotype"/>
          <w:b/>
          <w:noProof/>
          <w:color w:val="000000" w:themeColor="text1"/>
          <w:sz w:val="32"/>
          <w:szCs w:val="32"/>
        </w:rPr>
        <w:t>History</w:t>
      </w:r>
      <w:bookmarkEnd w:id="10"/>
      <w:bookmarkEnd w:id="11"/>
    </w:p>
    <w:p w14:paraId="4B915C83" w14:textId="77777777" w:rsidR="00006AE8" w:rsidRPr="00006AE8" w:rsidRDefault="00006AE8" w:rsidP="00006AE8"/>
    <w:p w14:paraId="63583CF2" w14:textId="78D582D9" w:rsidR="00111FC3" w:rsidRDefault="0056653D" w:rsidP="00CA61CF">
      <w:pPr>
        <w:spacing w:line="360" w:lineRule="auto"/>
        <w:ind w:firstLine="720"/>
        <w:contextualSpacing/>
        <w:jc w:val="both"/>
        <w:rPr>
          <w:rFonts w:ascii="Palatino Linotype" w:eastAsia="Calibri" w:hAnsi="Palatino Linotype"/>
        </w:rPr>
      </w:pPr>
      <w:r>
        <w:rPr>
          <w:rFonts w:ascii="Palatino Linotype" w:eastAsia="Calibri" w:hAnsi="Palatino Linotype"/>
        </w:rPr>
        <w:t xml:space="preserve">If </w:t>
      </w:r>
      <w:r w:rsidR="00721219">
        <w:rPr>
          <w:rFonts w:ascii="Palatino Linotype" w:eastAsia="Calibri" w:hAnsi="Palatino Linotype"/>
        </w:rPr>
        <w:t>Virginia</w:t>
      </w:r>
      <w:r w:rsidR="00063782">
        <w:rPr>
          <w:rFonts w:ascii="Palatino Linotype" w:eastAsia="Calibri" w:hAnsi="Palatino Linotype"/>
        </w:rPr>
        <w:t xml:space="preserve"> </w:t>
      </w:r>
      <w:r>
        <w:rPr>
          <w:rFonts w:ascii="Palatino Linotype" w:eastAsia="Calibri" w:hAnsi="Palatino Linotype"/>
        </w:rPr>
        <w:t xml:space="preserve">were to participate in the region-wide Transportation Climate Initiative, GHG emissions from the combustion of finished gasoline and on-road diesel </w:t>
      </w:r>
      <w:r w:rsidR="004141D8">
        <w:rPr>
          <w:rFonts w:ascii="Palatino Linotype" w:eastAsia="Calibri" w:hAnsi="Palatino Linotype"/>
        </w:rPr>
        <w:t xml:space="preserve">destined for final consumption </w:t>
      </w:r>
      <w:r>
        <w:rPr>
          <w:rFonts w:ascii="Palatino Linotype" w:eastAsia="Calibri" w:hAnsi="Palatino Linotype"/>
        </w:rPr>
        <w:t>would be capped between 20</w:t>
      </w:r>
      <w:r w:rsidR="00886047">
        <w:rPr>
          <w:rFonts w:ascii="Palatino Linotype" w:eastAsia="Calibri" w:hAnsi="Palatino Linotype"/>
        </w:rPr>
        <w:t xml:space="preserve"> and </w:t>
      </w:r>
      <w:r>
        <w:rPr>
          <w:rFonts w:ascii="Palatino Linotype" w:eastAsia="Calibri" w:hAnsi="Palatino Linotype"/>
        </w:rPr>
        <w:t>25 percent.</w:t>
      </w:r>
      <w:r w:rsidR="00A3489F">
        <w:rPr>
          <w:rFonts w:ascii="Palatino Linotype" w:eastAsia="Calibri" w:hAnsi="Palatino Linotype"/>
        </w:rPr>
        <w:t xml:space="preserve"> The </w:t>
      </w:r>
      <w:r w:rsidR="00721219">
        <w:rPr>
          <w:rFonts w:ascii="Palatino Linotype" w:eastAsia="Calibri" w:hAnsi="Palatino Linotype"/>
        </w:rPr>
        <w:t>Virginia</w:t>
      </w:r>
      <w:r w:rsidR="00063782">
        <w:rPr>
          <w:rFonts w:ascii="Palatino Linotype" w:eastAsia="Calibri" w:hAnsi="Palatino Linotype"/>
        </w:rPr>
        <w:t xml:space="preserve"> </w:t>
      </w:r>
      <w:r w:rsidR="00A3489F">
        <w:rPr>
          <w:rFonts w:ascii="Palatino Linotype" w:eastAsia="Calibri" w:hAnsi="Palatino Linotype"/>
        </w:rPr>
        <w:t>economy produces GHG emissions when fossil fuels are burned in the production process.</w:t>
      </w:r>
      <w:r w:rsidR="00767CBB">
        <w:rPr>
          <w:rFonts w:ascii="Palatino Linotype" w:eastAsia="Calibri" w:hAnsi="Palatino Linotype"/>
        </w:rPr>
        <w:t xml:space="preserve">  </w:t>
      </w:r>
      <w:r w:rsidR="00A3489F">
        <w:rPr>
          <w:rFonts w:ascii="Palatino Linotype" w:eastAsia="Calibri" w:hAnsi="Palatino Linotype"/>
        </w:rPr>
        <w:t xml:space="preserve">As a result, the transportation, electricity generation, residential, commercial heating, and industrial sectors produce the vast majority of the GHG emissions in </w:t>
      </w:r>
      <w:r w:rsidR="00721219">
        <w:rPr>
          <w:rFonts w:ascii="Palatino Linotype" w:eastAsia="Calibri" w:hAnsi="Palatino Linotype"/>
        </w:rPr>
        <w:t>Virginia</w:t>
      </w:r>
      <w:r w:rsidR="00A3489F">
        <w:rPr>
          <w:rFonts w:ascii="Palatino Linotype" w:eastAsia="Calibri" w:hAnsi="Palatino Linotype"/>
        </w:rPr>
        <w:t xml:space="preserve">. </w:t>
      </w:r>
      <w:r w:rsidR="00E315BA">
        <w:rPr>
          <w:rFonts w:ascii="Palatino Linotype" w:eastAsia="Calibri" w:hAnsi="Palatino Linotype"/>
        </w:rPr>
        <w:t>Table 2 displays the emissions, calcula</w:t>
      </w:r>
      <w:r w:rsidR="00746EF4">
        <w:rPr>
          <w:rFonts w:ascii="Palatino Linotype" w:eastAsia="Calibri" w:hAnsi="Palatino Linotype"/>
        </w:rPr>
        <w:t xml:space="preserve">ted by vehicle miles traveled and </w:t>
      </w:r>
      <w:r w:rsidR="00E315BA">
        <w:rPr>
          <w:rFonts w:ascii="Palatino Linotype" w:eastAsia="Calibri" w:hAnsi="Palatino Linotype"/>
        </w:rPr>
        <w:t>produced from</w:t>
      </w:r>
      <w:r w:rsidR="002F0DF5">
        <w:rPr>
          <w:rFonts w:ascii="Palatino Linotype" w:eastAsia="Calibri" w:hAnsi="Palatino Linotype"/>
        </w:rPr>
        <w:t xml:space="preserve"> the combustion of</w:t>
      </w:r>
      <w:r w:rsidR="00746EF4">
        <w:rPr>
          <w:rFonts w:ascii="Palatino Linotype" w:eastAsia="Calibri" w:hAnsi="Palatino Linotype"/>
        </w:rPr>
        <w:t xml:space="preserve"> gasoline in addition to</w:t>
      </w:r>
      <w:r w:rsidR="00E315BA">
        <w:rPr>
          <w:rFonts w:ascii="Palatino Linotype" w:eastAsia="Calibri" w:hAnsi="Palatino Linotype"/>
        </w:rPr>
        <w:t xml:space="preserve"> </w:t>
      </w:r>
      <w:r w:rsidR="002F0DF5">
        <w:rPr>
          <w:rFonts w:ascii="Palatino Linotype" w:eastAsia="Calibri" w:hAnsi="Palatino Linotype"/>
        </w:rPr>
        <w:t xml:space="preserve">on-road </w:t>
      </w:r>
      <w:r w:rsidR="00E315BA">
        <w:rPr>
          <w:rFonts w:ascii="Palatino Linotype" w:eastAsia="Calibri" w:hAnsi="Palatino Linotype"/>
        </w:rPr>
        <w:t xml:space="preserve">diesel for the years 2012 through 2017. </w:t>
      </w:r>
    </w:p>
    <w:p w14:paraId="50247112" w14:textId="77777777" w:rsidR="00B56BD0" w:rsidRDefault="00B56BD0" w:rsidP="00CA61CF">
      <w:pPr>
        <w:spacing w:line="360" w:lineRule="auto"/>
        <w:ind w:firstLine="720"/>
        <w:contextualSpacing/>
        <w:jc w:val="both"/>
        <w:rPr>
          <w:rFonts w:ascii="Palatino Linotype" w:hAnsi="Palatino Linotype" w:cs="Arial"/>
          <w:bCs/>
          <w:color w:val="000000"/>
          <w:sz w:val="22"/>
          <w:szCs w:val="22"/>
        </w:rPr>
      </w:pPr>
    </w:p>
    <w:p w14:paraId="3E7AFDB0" w14:textId="38688AC6" w:rsidR="00B73608" w:rsidRPr="0056653D" w:rsidRDefault="00B73608" w:rsidP="00B73608">
      <w:pPr>
        <w:pStyle w:val="Caption"/>
        <w:rPr>
          <w:rFonts w:eastAsia="Calibri"/>
        </w:rPr>
      </w:pPr>
      <w:bookmarkStart w:id="12" w:name="_Toc55394592"/>
      <w:r w:rsidRPr="0089062A">
        <w:rPr>
          <w:rFonts w:ascii="Palatino Linotype" w:hAnsi="Palatino Linotype"/>
          <w:sz w:val="24"/>
        </w:rPr>
        <w:t xml:space="preserve">Table </w:t>
      </w:r>
      <w:r w:rsidR="0067563A">
        <w:rPr>
          <w:rFonts w:ascii="Palatino Linotype" w:hAnsi="Palatino Linotype"/>
          <w:sz w:val="24"/>
        </w:rPr>
        <w:t>2</w:t>
      </w:r>
      <w:r w:rsidRPr="0089062A">
        <w:rPr>
          <w:rFonts w:ascii="Palatino Linotype" w:hAnsi="Palatino Linotype"/>
          <w:sz w:val="24"/>
        </w:rPr>
        <w:t xml:space="preserve">: Gasoline and Diesel Fuel GHG Emissions for </w:t>
      </w:r>
      <w:r w:rsidR="001A6042">
        <w:rPr>
          <w:rFonts w:ascii="Palatino Linotype" w:hAnsi="Palatino Linotype"/>
          <w:sz w:val="24"/>
        </w:rPr>
        <w:t>S</w:t>
      </w:r>
      <w:r w:rsidRPr="0089062A">
        <w:rPr>
          <w:rFonts w:ascii="Palatino Linotype" w:hAnsi="Palatino Linotype"/>
          <w:sz w:val="24"/>
        </w:rPr>
        <w:t xml:space="preserve">elected </w:t>
      </w:r>
      <w:r w:rsidR="001A6042">
        <w:rPr>
          <w:rFonts w:ascii="Palatino Linotype" w:hAnsi="Palatino Linotype"/>
          <w:sz w:val="24"/>
        </w:rPr>
        <w:t>Y</w:t>
      </w:r>
      <w:r w:rsidRPr="0089062A">
        <w:rPr>
          <w:rFonts w:ascii="Palatino Linotype" w:hAnsi="Palatino Linotype"/>
          <w:sz w:val="24"/>
        </w:rPr>
        <w:t>ears</w:t>
      </w:r>
      <w:r>
        <w:t xml:space="preserve"> </w:t>
      </w:r>
      <w:r w:rsidRPr="0056653D">
        <w:t>(MMTCO2E)</w:t>
      </w:r>
      <w:r w:rsidR="009A7839">
        <w:rPr>
          <w:rStyle w:val="FootnoteReference"/>
          <w:rFonts w:eastAsia="Calibri"/>
        </w:rPr>
        <w:footnoteReference w:customMarkFollows="1" w:id="42"/>
        <w:t>41</w:t>
      </w:r>
      <w:bookmarkEnd w:id="12"/>
    </w:p>
    <w:tbl>
      <w:tblPr>
        <w:tblW w:w="9990" w:type="dxa"/>
        <w:jc w:val="center"/>
        <w:tblBorders>
          <w:top w:val="single" w:sz="8" w:space="0" w:color="auto"/>
          <w:bottom w:val="single" w:sz="8" w:space="0" w:color="auto"/>
        </w:tblBorders>
        <w:tblLayout w:type="fixed"/>
        <w:tblLook w:val="04A0" w:firstRow="1" w:lastRow="0" w:firstColumn="1" w:lastColumn="0" w:noHBand="0" w:noVBand="1"/>
      </w:tblPr>
      <w:tblGrid>
        <w:gridCol w:w="4860"/>
        <w:gridCol w:w="855"/>
        <w:gridCol w:w="855"/>
        <w:gridCol w:w="855"/>
        <w:gridCol w:w="855"/>
        <w:gridCol w:w="855"/>
        <w:gridCol w:w="855"/>
      </w:tblGrid>
      <w:tr w:rsidR="00B73608" w:rsidRPr="0056653D" w14:paraId="1AEF22F6" w14:textId="77777777" w:rsidTr="00EE6C42">
        <w:trPr>
          <w:trHeight w:val="311"/>
          <w:jc w:val="center"/>
        </w:trPr>
        <w:tc>
          <w:tcPr>
            <w:tcW w:w="4860" w:type="dxa"/>
            <w:tcBorders>
              <w:top w:val="single" w:sz="8" w:space="0" w:color="auto"/>
              <w:bottom w:val="single" w:sz="8" w:space="0" w:color="auto"/>
            </w:tcBorders>
            <w:shd w:val="clear" w:color="auto" w:fill="auto"/>
            <w:noWrap/>
            <w:vAlign w:val="bottom"/>
            <w:hideMark/>
          </w:tcPr>
          <w:p w14:paraId="0F631751" w14:textId="77777777" w:rsidR="00B73608" w:rsidRPr="0056653D" w:rsidRDefault="00B73608" w:rsidP="00353A4C">
            <w:pPr>
              <w:rPr>
                <w:rFonts w:ascii="Palatino Linotype" w:hAnsi="Palatino Linotype" w:cs="Arial"/>
                <w:b/>
                <w:bCs/>
                <w:color w:val="000000"/>
                <w:sz w:val="22"/>
                <w:szCs w:val="22"/>
              </w:rPr>
            </w:pPr>
            <w:r w:rsidRPr="0056653D">
              <w:rPr>
                <w:rFonts w:ascii="Palatino Linotype" w:hAnsi="Palatino Linotype" w:cs="Arial"/>
                <w:b/>
                <w:bCs/>
                <w:color w:val="000000"/>
                <w:sz w:val="22"/>
                <w:szCs w:val="22"/>
              </w:rPr>
              <w:t xml:space="preserve">Emissions </w:t>
            </w:r>
          </w:p>
        </w:tc>
        <w:tc>
          <w:tcPr>
            <w:tcW w:w="855" w:type="dxa"/>
            <w:tcBorders>
              <w:top w:val="single" w:sz="8" w:space="0" w:color="auto"/>
              <w:bottom w:val="single" w:sz="8" w:space="0" w:color="auto"/>
            </w:tcBorders>
            <w:shd w:val="clear" w:color="auto" w:fill="auto"/>
            <w:noWrap/>
            <w:vAlign w:val="center"/>
            <w:hideMark/>
          </w:tcPr>
          <w:p w14:paraId="678231C0" w14:textId="77777777" w:rsidR="00B73608" w:rsidRPr="0056653D" w:rsidRDefault="00B73608" w:rsidP="00456E50">
            <w:pPr>
              <w:jc w:val="right"/>
              <w:rPr>
                <w:rFonts w:ascii="Palatino Linotype" w:hAnsi="Palatino Linotype" w:cs="Arial"/>
                <w:b/>
                <w:bCs/>
                <w:color w:val="000000"/>
                <w:sz w:val="22"/>
                <w:szCs w:val="22"/>
              </w:rPr>
            </w:pPr>
            <w:r>
              <w:rPr>
                <w:rFonts w:ascii="Palatino Linotype" w:hAnsi="Palatino Linotype" w:cs="Arial"/>
                <w:b/>
                <w:bCs/>
                <w:color w:val="000000"/>
                <w:sz w:val="22"/>
                <w:szCs w:val="22"/>
              </w:rPr>
              <w:t>2012</w:t>
            </w:r>
          </w:p>
        </w:tc>
        <w:tc>
          <w:tcPr>
            <w:tcW w:w="855" w:type="dxa"/>
            <w:tcBorders>
              <w:top w:val="single" w:sz="8" w:space="0" w:color="auto"/>
              <w:bottom w:val="single" w:sz="8" w:space="0" w:color="auto"/>
            </w:tcBorders>
            <w:shd w:val="clear" w:color="auto" w:fill="auto"/>
            <w:noWrap/>
            <w:vAlign w:val="center"/>
            <w:hideMark/>
          </w:tcPr>
          <w:p w14:paraId="08BB7CDA" w14:textId="77777777" w:rsidR="00B73608" w:rsidRPr="0056653D" w:rsidRDefault="00B73608" w:rsidP="00456E50">
            <w:pPr>
              <w:jc w:val="right"/>
              <w:rPr>
                <w:rFonts w:ascii="Palatino Linotype" w:hAnsi="Palatino Linotype" w:cs="Arial"/>
                <w:b/>
                <w:bCs/>
                <w:color w:val="000000"/>
                <w:sz w:val="22"/>
                <w:szCs w:val="22"/>
              </w:rPr>
            </w:pPr>
            <w:r w:rsidRPr="0056653D">
              <w:rPr>
                <w:rFonts w:ascii="Palatino Linotype" w:hAnsi="Palatino Linotype" w:cs="Arial"/>
                <w:b/>
                <w:bCs/>
                <w:color w:val="000000"/>
                <w:sz w:val="22"/>
                <w:szCs w:val="22"/>
              </w:rPr>
              <w:t>20</w:t>
            </w:r>
            <w:r>
              <w:rPr>
                <w:rFonts w:ascii="Palatino Linotype" w:hAnsi="Palatino Linotype" w:cs="Arial"/>
                <w:b/>
                <w:bCs/>
                <w:color w:val="000000"/>
                <w:sz w:val="22"/>
                <w:szCs w:val="22"/>
              </w:rPr>
              <w:t>13</w:t>
            </w:r>
          </w:p>
        </w:tc>
        <w:tc>
          <w:tcPr>
            <w:tcW w:w="855" w:type="dxa"/>
            <w:tcBorders>
              <w:top w:val="single" w:sz="8" w:space="0" w:color="auto"/>
              <w:bottom w:val="single" w:sz="8" w:space="0" w:color="auto"/>
            </w:tcBorders>
            <w:shd w:val="clear" w:color="auto" w:fill="auto"/>
            <w:noWrap/>
            <w:vAlign w:val="center"/>
            <w:hideMark/>
          </w:tcPr>
          <w:p w14:paraId="1BB17277" w14:textId="77777777" w:rsidR="00B73608" w:rsidRPr="0056653D" w:rsidRDefault="00B73608" w:rsidP="00456E50">
            <w:pPr>
              <w:jc w:val="right"/>
              <w:rPr>
                <w:rFonts w:ascii="Palatino Linotype" w:hAnsi="Palatino Linotype" w:cs="Arial"/>
                <w:b/>
                <w:bCs/>
                <w:color w:val="000000"/>
                <w:sz w:val="22"/>
                <w:szCs w:val="22"/>
              </w:rPr>
            </w:pPr>
            <w:r w:rsidRPr="0056653D">
              <w:rPr>
                <w:rFonts w:ascii="Palatino Linotype" w:hAnsi="Palatino Linotype" w:cs="Arial"/>
                <w:b/>
                <w:bCs/>
                <w:color w:val="000000"/>
                <w:sz w:val="22"/>
                <w:szCs w:val="22"/>
              </w:rPr>
              <w:t>201</w:t>
            </w:r>
            <w:r>
              <w:rPr>
                <w:rFonts w:ascii="Palatino Linotype" w:hAnsi="Palatino Linotype" w:cs="Arial"/>
                <w:b/>
                <w:bCs/>
                <w:color w:val="000000"/>
                <w:sz w:val="22"/>
                <w:szCs w:val="22"/>
              </w:rPr>
              <w:t>4</w:t>
            </w:r>
          </w:p>
        </w:tc>
        <w:tc>
          <w:tcPr>
            <w:tcW w:w="855" w:type="dxa"/>
            <w:tcBorders>
              <w:top w:val="single" w:sz="8" w:space="0" w:color="auto"/>
              <w:bottom w:val="single" w:sz="8" w:space="0" w:color="auto"/>
            </w:tcBorders>
            <w:shd w:val="clear" w:color="auto" w:fill="auto"/>
            <w:noWrap/>
            <w:vAlign w:val="center"/>
            <w:hideMark/>
          </w:tcPr>
          <w:p w14:paraId="01810CB6" w14:textId="77777777" w:rsidR="00B73608" w:rsidRPr="0056653D" w:rsidRDefault="00B73608" w:rsidP="00456E50">
            <w:pPr>
              <w:jc w:val="right"/>
              <w:rPr>
                <w:rFonts w:ascii="Palatino Linotype" w:hAnsi="Palatino Linotype" w:cs="Arial"/>
                <w:b/>
                <w:bCs/>
                <w:color w:val="000000"/>
                <w:sz w:val="22"/>
                <w:szCs w:val="22"/>
              </w:rPr>
            </w:pPr>
            <w:r w:rsidRPr="0056653D">
              <w:rPr>
                <w:rFonts w:ascii="Palatino Linotype" w:hAnsi="Palatino Linotype" w:cs="Arial"/>
                <w:b/>
                <w:bCs/>
                <w:color w:val="000000"/>
                <w:sz w:val="22"/>
                <w:szCs w:val="22"/>
              </w:rPr>
              <w:t>2015</w:t>
            </w:r>
          </w:p>
        </w:tc>
        <w:tc>
          <w:tcPr>
            <w:tcW w:w="855" w:type="dxa"/>
            <w:tcBorders>
              <w:top w:val="single" w:sz="8" w:space="0" w:color="auto"/>
              <w:bottom w:val="single" w:sz="8" w:space="0" w:color="auto"/>
            </w:tcBorders>
            <w:shd w:val="clear" w:color="auto" w:fill="auto"/>
            <w:noWrap/>
            <w:vAlign w:val="center"/>
            <w:hideMark/>
          </w:tcPr>
          <w:p w14:paraId="4ED14E8D" w14:textId="77777777" w:rsidR="00B73608" w:rsidRPr="0056653D" w:rsidRDefault="00B73608" w:rsidP="00456E50">
            <w:pPr>
              <w:jc w:val="right"/>
              <w:rPr>
                <w:rFonts w:ascii="Palatino Linotype" w:hAnsi="Palatino Linotype" w:cs="Arial"/>
                <w:b/>
                <w:bCs/>
                <w:color w:val="000000"/>
                <w:sz w:val="22"/>
                <w:szCs w:val="22"/>
              </w:rPr>
            </w:pPr>
            <w:r w:rsidRPr="0056653D">
              <w:rPr>
                <w:rFonts w:ascii="Palatino Linotype" w:hAnsi="Palatino Linotype" w:cs="Arial"/>
                <w:b/>
                <w:bCs/>
                <w:color w:val="000000"/>
                <w:sz w:val="22"/>
                <w:szCs w:val="22"/>
              </w:rPr>
              <w:t>2016</w:t>
            </w:r>
          </w:p>
        </w:tc>
        <w:tc>
          <w:tcPr>
            <w:tcW w:w="855" w:type="dxa"/>
            <w:tcBorders>
              <w:top w:val="single" w:sz="8" w:space="0" w:color="auto"/>
              <w:bottom w:val="single" w:sz="8" w:space="0" w:color="auto"/>
            </w:tcBorders>
            <w:vAlign w:val="center"/>
          </w:tcPr>
          <w:p w14:paraId="4EBF460C" w14:textId="77777777" w:rsidR="00B73608" w:rsidRPr="0056653D" w:rsidRDefault="00B73608" w:rsidP="00456E50">
            <w:pPr>
              <w:jc w:val="right"/>
              <w:rPr>
                <w:rFonts w:ascii="Palatino Linotype" w:hAnsi="Palatino Linotype" w:cs="Arial"/>
                <w:b/>
                <w:bCs/>
                <w:color w:val="000000"/>
                <w:sz w:val="22"/>
                <w:szCs w:val="22"/>
              </w:rPr>
            </w:pPr>
            <w:r>
              <w:rPr>
                <w:rFonts w:ascii="Palatino Linotype" w:hAnsi="Palatino Linotype" w:cs="Arial"/>
                <w:b/>
                <w:bCs/>
                <w:color w:val="000000"/>
                <w:sz w:val="22"/>
                <w:szCs w:val="22"/>
              </w:rPr>
              <w:t>2017</w:t>
            </w:r>
          </w:p>
        </w:tc>
      </w:tr>
      <w:tr w:rsidR="00B73608" w:rsidRPr="0056653D" w14:paraId="09A956AD" w14:textId="77777777" w:rsidTr="00EE6C42">
        <w:trPr>
          <w:trHeight w:val="296"/>
          <w:jc w:val="center"/>
        </w:trPr>
        <w:tc>
          <w:tcPr>
            <w:tcW w:w="4860" w:type="dxa"/>
            <w:shd w:val="clear" w:color="auto" w:fill="auto"/>
            <w:noWrap/>
            <w:vAlign w:val="bottom"/>
          </w:tcPr>
          <w:p w14:paraId="631D00B8" w14:textId="77777777" w:rsidR="00B73608" w:rsidRPr="0056653D" w:rsidRDefault="00B73608" w:rsidP="00353A4C">
            <w:pPr>
              <w:rPr>
                <w:rFonts w:ascii="Palatino Linotype" w:hAnsi="Palatino Linotype" w:cs="Arial"/>
                <w:b/>
                <w:bCs/>
                <w:color w:val="000000"/>
                <w:sz w:val="22"/>
                <w:szCs w:val="22"/>
              </w:rPr>
            </w:pPr>
            <w:r w:rsidRPr="0056653D">
              <w:rPr>
                <w:rFonts w:ascii="Palatino Linotype" w:hAnsi="Palatino Linotype" w:cs="Arial"/>
                <w:b/>
                <w:bCs/>
                <w:color w:val="000000"/>
                <w:sz w:val="22"/>
                <w:szCs w:val="22"/>
              </w:rPr>
              <w:t xml:space="preserve">CO2E by </w:t>
            </w:r>
            <w:r>
              <w:rPr>
                <w:rFonts w:ascii="Palatino Linotype" w:hAnsi="Palatino Linotype" w:cs="Arial"/>
                <w:b/>
                <w:bCs/>
                <w:color w:val="000000"/>
                <w:sz w:val="22"/>
                <w:szCs w:val="22"/>
              </w:rPr>
              <w:t>Fuel</w:t>
            </w:r>
          </w:p>
        </w:tc>
        <w:tc>
          <w:tcPr>
            <w:tcW w:w="855" w:type="dxa"/>
            <w:shd w:val="clear" w:color="auto" w:fill="auto"/>
            <w:noWrap/>
            <w:vAlign w:val="bottom"/>
          </w:tcPr>
          <w:p w14:paraId="6AB18C60" w14:textId="77777777" w:rsidR="00B73608" w:rsidRPr="0056653D" w:rsidRDefault="00B73608" w:rsidP="00353A4C">
            <w:pPr>
              <w:jc w:val="right"/>
              <w:rPr>
                <w:rFonts w:ascii="Palatino Linotype" w:hAnsi="Palatino Linotype" w:cs="Arial"/>
                <w:color w:val="000000"/>
                <w:sz w:val="22"/>
                <w:szCs w:val="22"/>
              </w:rPr>
            </w:pPr>
          </w:p>
        </w:tc>
        <w:tc>
          <w:tcPr>
            <w:tcW w:w="855" w:type="dxa"/>
            <w:shd w:val="clear" w:color="auto" w:fill="auto"/>
            <w:noWrap/>
            <w:vAlign w:val="bottom"/>
          </w:tcPr>
          <w:p w14:paraId="3863308B" w14:textId="77777777" w:rsidR="00B73608" w:rsidRPr="0056653D" w:rsidRDefault="00B73608" w:rsidP="00353A4C">
            <w:pPr>
              <w:rPr>
                <w:rFonts w:ascii="Palatino Linotype" w:hAnsi="Palatino Linotype" w:cs="Arial"/>
                <w:color w:val="000000"/>
                <w:sz w:val="22"/>
                <w:szCs w:val="22"/>
              </w:rPr>
            </w:pPr>
          </w:p>
        </w:tc>
        <w:tc>
          <w:tcPr>
            <w:tcW w:w="855" w:type="dxa"/>
            <w:shd w:val="clear" w:color="auto" w:fill="auto"/>
            <w:noWrap/>
            <w:vAlign w:val="bottom"/>
          </w:tcPr>
          <w:p w14:paraId="504A0D07" w14:textId="77777777" w:rsidR="00B73608" w:rsidRPr="0056653D" w:rsidRDefault="00B73608" w:rsidP="00353A4C">
            <w:pPr>
              <w:rPr>
                <w:rFonts w:ascii="Palatino Linotype" w:hAnsi="Palatino Linotype" w:cs="Arial"/>
                <w:color w:val="000000"/>
                <w:sz w:val="22"/>
                <w:szCs w:val="22"/>
              </w:rPr>
            </w:pPr>
          </w:p>
        </w:tc>
        <w:tc>
          <w:tcPr>
            <w:tcW w:w="855" w:type="dxa"/>
            <w:shd w:val="clear" w:color="auto" w:fill="auto"/>
            <w:noWrap/>
            <w:vAlign w:val="bottom"/>
          </w:tcPr>
          <w:p w14:paraId="43E298CA" w14:textId="77777777" w:rsidR="00B73608" w:rsidRPr="0056653D" w:rsidRDefault="00B73608" w:rsidP="00353A4C">
            <w:pPr>
              <w:jc w:val="right"/>
              <w:rPr>
                <w:rFonts w:ascii="Palatino Linotype" w:hAnsi="Palatino Linotype" w:cs="Arial"/>
                <w:color w:val="000000"/>
                <w:sz w:val="22"/>
                <w:szCs w:val="22"/>
              </w:rPr>
            </w:pPr>
          </w:p>
        </w:tc>
        <w:tc>
          <w:tcPr>
            <w:tcW w:w="855" w:type="dxa"/>
            <w:shd w:val="clear" w:color="auto" w:fill="auto"/>
            <w:noWrap/>
            <w:vAlign w:val="bottom"/>
          </w:tcPr>
          <w:p w14:paraId="670C4FA7" w14:textId="77777777" w:rsidR="00B73608" w:rsidRPr="0056653D" w:rsidRDefault="00B73608" w:rsidP="00353A4C">
            <w:pPr>
              <w:jc w:val="center"/>
              <w:rPr>
                <w:rFonts w:ascii="Palatino Linotype" w:hAnsi="Palatino Linotype" w:cs="Arial"/>
                <w:sz w:val="22"/>
                <w:szCs w:val="22"/>
              </w:rPr>
            </w:pPr>
          </w:p>
        </w:tc>
        <w:tc>
          <w:tcPr>
            <w:tcW w:w="855" w:type="dxa"/>
            <w:vAlign w:val="bottom"/>
          </w:tcPr>
          <w:p w14:paraId="5E58A470" w14:textId="77777777" w:rsidR="00B73608" w:rsidRPr="0056653D" w:rsidRDefault="00B73608" w:rsidP="00353A4C">
            <w:pPr>
              <w:tabs>
                <w:tab w:val="left" w:pos="303"/>
              </w:tabs>
              <w:jc w:val="center"/>
              <w:rPr>
                <w:rFonts w:ascii="Palatino Linotype" w:hAnsi="Palatino Linotype" w:cs="Arial"/>
                <w:sz w:val="22"/>
                <w:szCs w:val="22"/>
              </w:rPr>
            </w:pPr>
          </w:p>
        </w:tc>
      </w:tr>
      <w:tr w:rsidR="00B73608" w:rsidRPr="0056653D" w14:paraId="6FB4E5F6" w14:textId="77777777" w:rsidTr="00EE6C42">
        <w:trPr>
          <w:trHeight w:val="261"/>
          <w:jc w:val="center"/>
        </w:trPr>
        <w:tc>
          <w:tcPr>
            <w:tcW w:w="4860" w:type="dxa"/>
            <w:tcBorders>
              <w:bottom w:val="nil"/>
            </w:tcBorders>
            <w:shd w:val="clear" w:color="auto" w:fill="auto"/>
            <w:noWrap/>
            <w:vAlign w:val="bottom"/>
            <w:hideMark/>
          </w:tcPr>
          <w:p w14:paraId="406ED33C" w14:textId="77777777" w:rsidR="00B73608" w:rsidRPr="0056653D" w:rsidRDefault="00B73608" w:rsidP="00353A4C">
            <w:pPr>
              <w:rPr>
                <w:rFonts w:ascii="Palatino Linotype" w:hAnsi="Palatino Linotype" w:cs="Arial"/>
                <w:b/>
                <w:bCs/>
                <w:color w:val="000000"/>
                <w:sz w:val="22"/>
                <w:szCs w:val="22"/>
              </w:rPr>
            </w:pPr>
            <w:r w:rsidRPr="0056653D">
              <w:rPr>
                <w:rFonts w:ascii="Palatino Linotype" w:hAnsi="Palatino Linotype" w:cs="Arial"/>
                <w:sz w:val="22"/>
                <w:szCs w:val="22"/>
              </w:rPr>
              <w:t xml:space="preserve">                </w:t>
            </w:r>
            <w:r>
              <w:rPr>
                <w:rFonts w:ascii="Palatino Linotype" w:hAnsi="Palatino Linotype" w:cs="Arial"/>
                <w:sz w:val="22"/>
                <w:szCs w:val="22"/>
              </w:rPr>
              <w:t>Finished Motor Gasoline</w:t>
            </w:r>
          </w:p>
        </w:tc>
        <w:tc>
          <w:tcPr>
            <w:tcW w:w="855" w:type="dxa"/>
            <w:tcBorders>
              <w:bottom w:val="nil"/>
            </w:tcBorders>
            <w:shd w:val="clear" w:color="auto" w:fill="auto"/>
            <w:noWrap/>
            <w:hideMark/>
          </w:tcPr>
          <w:p w14:paraId="76AA7AF6" w14:textId="77777777" w:rsidR="00B73608" w:rsidRPr="0056653D" w:rsidRDefault="00B73608" w:rsidP="00B73608">
            <w:pPr>
              <w:jc w:val="right"/>
              <w:rPr>
                <w:rFonts w:ascii="Palatino Linotype" w:hAnsi="Palatino Linotype" w:cs="Arial"/>
                <w:color w:val="000000"/>
                <w:sz w:val="22"/>
                <w:szCs w:val="22"/>
              </w:rPr>
            </w:pPr>
            <w:r>
              <w:rPr>
                <w:rFonts w:ascii="Palatino Linotype" w:hAnsi="Palatino Linotype" w:cs="Arial"/>
                <w:sz w:val="22"/>
                <w:szCs w:val="22"/>
              </w:rPr>
              <w:t>26.9</w:t>
            </w:r>
          </w:p>
        </w:tc>
        <w:tc>
          <w:tcPr>
            <w:tcW w:w="855" w:type="dxa"/>
            <w:tcBorders>
              <w:bottom w:val="nil"/>
            </w:tcBorders>
            <w:shd w:val="clear" w:color="auto" w:fill="auto"/>
            <w:noWrap/>
            <w:hideMark/>
          </w:tcPr>
          <w:p w14:paraId="053C2B3A" w14:textId="77777777" w:rsidR="00B73608" w:rsidRPr="0056653D" w:rsidRDefault="00B73608" w:rsidP="00B73608">
            <w:pPr>
              <w:jc w:val="right"/>
              <w:rPr>
                <w:rFonts w:ascii="Palatino Linotype" w:hAnsi="Palatino Linotype" w:cs="Arial"/>
                <w:color w:val="000000"/>
                <w:sz w:val="22"/>
                <w:szCs w:val="22"/>
              </w:rPr>
            </w:pPr>
            <w:r>
              <w:rPr>
                <w:rFonts w:ascii="Palatino Linotype" w:hAnsi="Palatino Linotype" w:cs="Arial"/>
                <w:sz w:val="22"/>
                <w:szCs w:val="22"/>
              </w:rPr>
              <w:t>26.7</w:t>
            </w:r>
          </w:p>
        </w:tc>
        <w:tc>
          <w:tcPr>
            <w:tcW w:w="855" w:type="dxa"/>
            <w:tcBorders>
              <w:bottom w:val="nil"/>
            </w:tcBorders>
            <w:shd w:val="clear" w:color="auto" w:fill="auto"/>
            <w:noWrap/>
            <w:hideMark/>
          </w:tcPr>
          <w:p w14:paraId="70530D49" w14:textId="77777777" w:rsidR="00B73608" w:rsidRPr="0056653D" w:rsidRDefault="00B73608" w:rsidP="00B73608">
            <w:pPr>
              <w:jc w:val="right"/>
              <w:rPr>
                <w:rFonts w:ascii="Palatino Linotype" w:hAnsi="Palatino Linotype" w:cs="Arial"/>
                <w:color w:val="000000"/>
                <w:sz w:val="22"/>
                <w:szCs w:val="22"/>
              </w:rPr>
            </w:pPr>
            <w:r>
              <w:rPr>
                <w:rFonts w:ascii="Palatino Linotype" w:hAnsi="Palatino Linotype" w:cs="Arial"/>
                <w:sz w:val="22"/>
                <w:szCs w:val="22"/>
              </w:rPr>
              <w:t>26.9</w:t>
            </w:r>
          </w:p>
        </w:tc>
        <w:tc>
          <w:tcPr>
            <w:tcW w:w="855" w:type="dxa"/>
            <w:tcBorders>
              <w:bottom w:val="nil"/>
            </w:tcBorders>
            <w:shd w:val="clear" w:color="auto" w:fill="auto"/>
            <w:noWrap/>
            <w:hideMark/>
          </w:tcPr>
          <w:p w14:paraId="3D3192B8" w14:textId="77777777" w:rsidR="00B73608" w:rsidRPr="0056653D" w:rsidRDefault="00B73608" w:rsidP="00B73608">
            <w:pPr>
              <w:jc w:val="right"/>
              <w:rPr>
                <w:rFonts w:ascii="Palatino Linotype" w:hAnsi="Palatino Linotype" w:cs="Arial"/>
                <w:color w:val="000000"/>
                <w:sz w:val="22"/>
                <w:szCs w:val="22"/>
              </w:rPr>
            </w:pPr>
            <w:r>
              <w:rPr>
                <w:rFonts w:ascii="Palatino Linotype" w:hAnsi="Palatino Linotype" w:cs="Arial"/>
                <w:sz w:val="22"/>
                <w:szCs w:val="22"/>
              </w:rPr>
              <w:t>27.4</w:t>
            </w:r>
          </w:p>
        </w:tc>
        <w:tc>
          <w:tcPr>
            <w:tcW w:w="855" w:type="dxa"/>
            <w:tcBorders>
              <w:bottom w:val="nil"/>
            </w:tcBorders>
            <w:shd w:val="clear" w:color="auto" w:fill="auto"/>
            <w:noWrap/>
            <w:hideMark/>
          </w:tcPr>
          <w:p w14:paraId="31D67795" w14:textId="77777777" w:rsidR="00B73608" w:rsidRPr="0056653D" w:rsidRDefault="00B73608" w:rsidP="00B73608">
            <w:pPr>
              <w:jc w:val="right"/>
              <w:rPr>
                <w:rFonts w:ascii="Palatino Linotype" w:hAnsi="Palatino Linotype" w:cs="Arial"/>
                <w:sz w:val="22"/>
                <w:szCs w:val="22"/>
              </w:rPr>
            </w:pPr>
            <w:r>
              <w:rPr>
                <w:rFonts w:ascii="Palatino Linotype" w:hAnsi="Palatino Linotype" w:cs="Arial"/>
                <w:sz w:val="22"/>
                <w:szCs w:val="22"/>
              </w:rPr>
              <w:t>29.0</w:t>
            </w:r>
          </w:p>
        </w:tc>
        <w:tc>
          <w:tcPr>
            <w:tcW w:w="855" w:type="dxa"/>
            <w:tcBorders>
              <w:bottom w:val="nil"/>
            </w:tcBorders>
          </w:tcPr>
          <w:p w14:paraId="0BB667B3" w14:textId="77777777" w:rsidR="00B73608" w:rsidRPr="0056653D" w:rsidRDefault="00B73608" w:rsidP="00B73608">
            <w:pPr>
              <w:jc w:val="right"/>
              <w:rPr>
                <w:rFonts w:ascii="Palatino Linotype" w:hAnsi="Palatino Linotype" w:cs="Arial"/>
                <w:sz w:val="22"/>
                <w:szCs w:val="22"/>
              </w:rPr>
            </w:pPr>
            <w:r>
              <w:rPr>
                <w:rFonts w:ascii="Palatino Linotype" w:hAnsi="Palatino Linotype" w:cs="Arial"/>
                <w:sz w:val="22"/>
                <w:szCs w:val="22"/>
              </w:rPr>
              <w:t>29.0</w:t>
            </w:r>
          </w:p>
        </w:tc>
      </w:tr>
      <w:tr w:rsidR="00B73608" w:rsidRPr="0056653D" w14:paraId="582057A1" w14:textId="77777777" w:rsidTr="00EE6C42">
        <w:trPr>
          <w:trHeight w:val="369"/>
          <w:jc w:val="center"/>
        </w:trPr>
        <w:tc>
          <w:tcPr>
            <w:tcW w:w="4860" w:type="dxa"/>
            <w:tcBorders>
              <w:top w:val="nil"/>
              <w:bottom w:val="single" w:sz="4" w:space="0" w:color="auto"/>
            </w:tcBorders>
            <w:shd w:val="clear" w:color="auto" w:fill="auto"/>
            <w:noWrap/>
            <w:vAlign w:val="bottom"/>
            <w:hideMark/>
          </w:tcPr>
          <w:p w14:paraId="09E70774" w14:textId="77777777" w:rsidR="00B73608" w:rsidRPr="0056653D" w:rsidRDefault="00B73608" w:rsidP="00353A4C">
            <w:pPr>
              <w:ind w:firstLineChars="400" w:firstLine="880"/>
              <w:rPr>
                <w:rFonts w:ascii="Palatino Linotype" w:hAnsi="Palatino Linotype" w:cs="Arial"/>
                <w:sz w:val="22"/>
                <w:szCs w:val="22"/>
              </w:rPr>
            </w:pPr>
            <w:r>
              <w:rPr>
                <w:rFonts w:ascii="Palatino Linotype" w:hAnsi="Palatino Linotype" w:cs="Arial"/>
                <w:sz w:val="22"/>
                <w:szCs w:val="22"/>
              </w:rPr>
              <w:lastRenderedPageBreak/>
              <w:t>On-Road Diesel</w:t>
            </w:r>
          </w:p>
        </w:tc>
        <w:tc>
          <w:tcPr>
            <w:tcW w:w="855" w:type="dxa"/>
            <w:tcBorders>
              <w:top w:val="nil"/>
              <w:bottom w:val="single" w:sz="4" w:space="0" w:color="auto"/>
            </w:tcBorders>
            <w:shd w:val="clear" w:color="auto" w:fill="auto"/>
            <w:noWrap/>
            <w:hideMark/>
          </w:tcPr>
          <w:p w14:paraId="7F15B4FE" w14:textId="77777777" w:rsidR="00B73608" w:rsidRPr="0056653D" w:rsidRDefault="00B73608" w:rsidP="00B73608">
            <w:pPr>
              <w:jc w:val="right"/>
              <w:rPr>
                <w:rFonts w:ascii="Palatino Linotype" w:hAnsi="Palatino Linotype" w:cs="Arial"/>
                <w:sz w:val="22"/>
                <w:szCs w:val="22"/>
              </w:rPr>
            </w:pPr>
            <w:r>
              <w:rPr>
                <w:rFonts w:ascii="Palatino Linotype" w:hAnsi="Palatino Linotype" w:cs="Arial"/>
                <w:sz w:val="22"/>
                <w:szCs w:val="22"/>
              </w:rPr>
              <w:t>11.8</w:t>
            </w:r>
          </w:p>
        </w:tc>
        <w:tc>
          <w:tcPr>
            <w:tcW w:w="855" w:type="dxa"/>
            <w:tcBorders>
              <w:top w:val="nil"/>
              <w:bottom w:val="single" w:sz="4" w:space="0" w:color="auto"/>
            </w:tcBorders>
            <w:shd w:val="clear" w:color="auto" w:fill="auto"/>
            <w:noWrap/>
            <w:hideMark/>
          </w:tcPr>
          <w:p w14:paraId="7ECD7BE4" w14:textId="77777777" w:rsidR="00B73608" w:rsidRPr="0056653D" w:rsidRDefault="00B73608" w:rsidP="00B73608">
            <w:pPr>
              <w:jc w:val="right"/>
              <w:rPr>
                <w:rFonts w:ascii="Palatino Linotype" w:hAnsi="Palatino Linotype" w:cs="Arial"/>
                <w:sz w:val="22"/>
                <w:szCs w:val="22"/>
              </w:rPr>
            </w:pPr>
            <w:r>
              <w:rPr>
                <w:rFonts w:ascii="Palatino Linotype" w:hAnsi="Palatino Linotype" w:cs="Arial"/>
                <w:sz w:val="22"/>
                <w:szCs w:val="22"/>
              </w:rPr>
              <w:t>12.0</w:t>
            </w:r>
          </w:p>
        </w:tc>
        <w:tc>
          <w:tcPr>
            <w:tcW w:w="855" w:type="dxa"/>
            <w:tcBorders>
              <w:top w:val="nil"/>
              <w:bottom w:val="single" w:sz="4" w:space="0" w:color="auto"/>
            </w:tcBorders>
            <w:shd w:val="clear" w:color="auto" w:fill="auto"/>
            <w:noWrap/>
            <w:hideMark/>
          </w:tcPr>
          <w:p w14:paraId="2C16D157" w14:textId="77777777" w:rsidR="00B73608" w:rsidRPr="0056653D" w:rsidRDefault="00B73608" w:rsidP="00B73608">
            <w:pPr>
              <w:jc w:val="right"/>
              <w:rPr>
                <w:rFonts w:ascii="Palatino Linotype" w:hAnsi="Palatino Linotype" w:cs="Arial"/>
                <w:sz w:val="22"/>
                <w:szCs w:val="22"/>
              </w:rPr>
            </w:pPr>
            <w:r>
              <w:rPr>
                <w:rFonts w:ascii="Palatino Linotype" w:hAnsi="Palatino Linotype" w:cs="Arial"/>
                <w:sz w:val="22"/>
                <w:szCs w:val="22"/>
              </w:rPr>
              <w:t>12.0</w:t>
            </w:r>
          </w:p>
        </w:tc>
        <w:tc>
          <w:tcPr>
            <w:tcW w:w="855" w:type="dxa"/>
            <w:tcBorders>
              <w:top w:val="nil"/>
              <w:bottom w:val="single" w:sz="4" w:space="0" w:color="auto"/>
            </w:tcBorders>
            <w:shd w:val="clear" w:color="auto" w:fill="auto"/>
            <w:noWrap/>
            <w:hideMark/>
          </w:tcPr>
          <w:p w14:paraId="0269C5A9" w14:textId="77777777" w:rsidR="00B73608" w:rsidRPr="0056653D" w:rsidRDefault="00B73608" w:rsidP="00B73608">
            <w:pPr>
              <w:jc w:val="right"/>
              <w:rPr>
                <w:rFonts w:ascii="Palatino Linotype" w:hAnsi="Palatino Linotype" w:cs="Arial"/>
                <w:sz w:val="22"/>
                <w:szCs w:val="22"/>
              </w:rPr>
            </w:pPr>
            <w:r>
              <w:rPr>
                <w:rFonts w:ascii="Palatino Linotype" w:hAnsi="Palatino Linotype" w:cs="Arial"/>
                <w:sz w:val="22"/>
                <w:szCs w:val="22"/>
              </w:rPr>
              <w:t>12.0</w:t>
            </w:r>
          </w:p>
        </w:tc>
        <w:tc>
          <w:tcPr>
            <w:tcW w:w="855" w:type="dxa"/>
            <w:tcBorders>
              <w:top w:val="nil"/>
              <w:bottom w:val="single" w:sz="4" w:space="0" w:color="auto"/>
            </w:tcBorders>
            <w:shd w:val="clear" w:color="auto" w:fill="auto"/>
            <w:noWrap/>
            <w:hideMark/>
          </w:tcPr>
          <w:p w14:paraId="2ED089B6" w14:textId="77777777" w:rsidR="00B73608" w:rsidRPr="0056653D" w:rsidRDefault="00B73608" w:rsidP="00B73608">
            <w:pPr>
              <w:jc w:val="right"/>
              <w:rPr>
                <w:rFonts w:ascii="Palatino Linotype" w:hAnsi="Palatino Linotype" w:cs="Arial"/>
                <w:sz w:val="22"/>
                <w:szCs w:val="22"/>
              </w:rPr>
            </w:pPr>
            <w:r>
              <w:rPr>
                <w:rFonts w:ascii="Palatino Linotype" w:hAnsi="Palatino Linotype" w:cs="Arial"/>
                <w:sz w:val="22"/>
                <w:szCs w:val="22"/>
              </w:rPr>
              <w:t>11.1</w:t>
            </w:r>
          </w:p>
        </w:tc>
        <w:tc>
          <w:tcPr>
            <w:tcW w:w="855" w:type="dxa"/>
            <w:tcBorders>
              <w:top w:val="nil"/>
              <w:bottom w:val="single" w:sz="4" w:space="0" w:color="auto"/>
            </w:tcBorders>
          </w:tcPr>
          <w:p w14:paraId="113FD022" w14:textId="77777777" w:rsidR="00B73608" w:rsidRPr="0056653D" w:rsidRDefault="00B73608" w:rsidP="00B73608">
            <w:pPr>
              <w:jc w:val="right"/>
              <w:rPr>
                <w:rFonts w:ascii="Palatino Linotype" w:hAnsi="Palatino Linotype" w:cs="Arial"/>
                <w:sz w:val="22"/>
                <w:szCs w:val="22"/>
              </w:rPr>
            </w:pPr>
            <w:r>
              <w:rPr>
                <w:rFonts w:ascii="Palatino Linotype" w:hAnsi="Palatino Linotype" w:cs="Arial"/>
                <w:sz w:val="22"/>
                <w:szCs w:val="22"/>
              </w:rPr>
              <w:t>11.1</w:t>
            </w:r>
          </w:p>
        </w:tc>
      </w:tr>
      <w:tr w:rsidR="00B73608" w:rsidRPr="0056653D" w14:paraId="3B483A5A" w14:textId="77777777" w:rsidTr="00EE6C42">
        <w:trPr>
          <w:trHeight w:val="332"/>
          <w:jc w:val="center"/>
        </w:trPr>
        <w:tc>
          <w:tcPr>
            <w:tcW w:w="4860" w:type="dxa"/>
            <w:tcBorders>
              <w:top w:val="single" w:sz="4" w:space="0" w:color="auto"/>
              <w:bottom w:val="single" w:sz="4" w:space="0" w:color="auto"/>
            </w:tcBorders>
            <w:shd w:val="clear" w:color="auto" w:fill="auto"/>
            <w:noWrap/>
            <w:vAlign w:val="center"/>
            <w:hideMark/>
          </w:tcPr>
          <w:p w14:paraId="6BCEACED" w14:textId="77777777" w:rsidR="00B73608" w:rsidRPr="0056653D" w:rsidRDefault="00B73608" w:rsidP="00353A4C">
            <w:pPr>
              <w:rPr>
                <w:rFonts w:ascii="Palatino Linotype" w:hAnsi="Palatino Linotype" w:cs="Arial"/>
                <w:sz w:val="22"/>
                <w:szCs w:val="22"/>
              </w:rPr>
            </w:pPr>
            <w:r w:rsidRPr="0056653D">
              <w:rPr>
                <w:rFonts w:ascii="Palatino Linotype" w:hAnsi="Palatino Linotype" w:cs="Arial"/>
                <w:b/>
                <w:bCs/>
                <w:color w:val="000000"/>
                <w:sz w:val="22"/>
                <w:szCs w:val="22"/>
              </w:rPr>
              <w:t>Total Emissions</w:t>
            </w:r>
          </w:p>
        </w:tc>
        <w:tc>
          <w:tcPr>
            <w:tcW w:w="855" w:type="dxa"/>
            <w:tcBorders>
              <w:top w:val="single" w:sz="4" w:space="0" w:color="auto"/>
              <w:bottom w:val="single" w:sz="4" w:space="0" w:color="auto"/>
            </w:tcBorders>
            <w:shd w:val="clear" w:color="auto" w:fill="auto"/>
            <w:noWrap/>
            <w:hideMark/>
          </w:tcPr>
          <w:p w14:paraId="72CD0072" w14:textId="77777777" w:rsidR="00B73608" w:rsidRPr="005122D7" w:rsidRDefault="00B73608" w:rsidP="00B73608">
            <w:pPr>
              <w:jc w:val="right"/>
              <w:rPr>
                <w:rFonts w:ascii="Palatino Linotype" w:hAnsi="Palatino Linotype" w:cs="Arial"/>
                <w:color w:val="000000"/>
                <w:sz w:val="22"/>
                <w:szCs w:val="22"/>
              </w:rPr>
            </w:pPr>
            <w:r w:rsidRPr="005122D7">
              <w:rPr>
                <w:rFonts w:ascii="Palatino Linotype" w:hAnsi="Palatino Linotype" w:cs="Arial"/>
                <w:color w:val="000000"/>
                <w:sz w:val="22"/>
                <w:szCs w:val="22"/>
              </w:rPr>
              <w:t>38.7</w:t>
            </w:r>
          </w:p>
        </w:tc>
        <w:tc>
          <w:tcPr>
            <w:tcW w:w="855" w:type="dxa"/>
            <w:tcBorders>
              <w:top w:val="single" w:sz="4" w:space="0" w:color="auto"/>
              <w:bottom w:val="single" w:sz="4" w:space="0" w:color="auto"/>
            </w:tcBorders>
            <w:shd w:val="clear" w:color="auto" w:fill="auto"/>
            <w:noWrap/>
            <w:hideMark/>
          </w:tcPr>
          <w:p w14:paraId="3D971B76" w14:textId="77777777" w:rsidR="00B73608" w:rsidRPr="005122D7" w:rsidRDefault="00B73608" w:rsidP="00B73608">
            <w:pPr>
              <w:jc w:val="right"/>
              <w:rPr>
                <w:rFonts w:ascii="Palatino Linotype" w:hAnsi="Palatino Linotype" w:cs="Arial"/>
                <w:color w:val="000000"/>
                <w:sz w:val="22"/>
                <w:szCs w:val="22"/>
              </w:rPr>
            </w:pPr>
            <w:r w:rsidRPr="005122D7">
              <w:rPr>
                <w:rFonts w:ascii="Palatino Linotype" w:hAnsi="Palatino Linotype" w:cs="Arial"/>
                <w:color w:val="000000"/>
                <w:sz w:val="22"/>
                <w:szCs w:val="22"/>
              </w:rPr>
              <w:t>38.7</w:t>
            </w:r>
          </w:p>
        </w:tc>
        <w:tc>
          <w:tcPr>
            <w:tcW w:w="855" w:type="dxa"/>
            <w:tcBorders>
              <w:top w:val="single" w:sz="4" w:space="0" w:color="auto"/>
              <w:bottom w:val="single" w:sz="4" w:space="0" w:color="auto"/>
            </w:tcBorders>
            <w:shd w:val="clear" w:color="auto" w:fill="auto"/>
            <w:noWrap/>
            <w:hideMark/>
          </w:tcPr>
          <w:p w14:paraId="6905560E" w14:textId="77777777" w:rsidR="00B73608" w:rsidRPr="005122D7" w:rsidRDefault="00B73608" w:rsidP="00B73608">
            <w:pPr>
              <w:jc w:val="right"/>
              <w:rPr>
                <w:rFonts w:ascii="Palatino Linotype" w:hAnsi="Palatino Linotype" w:cs="Arial"/>
                <w:color w:val="000000"/>
                <w:sz w:val="22"/>
                <w:szCs w:val="22"/>
              </w:rPr>
            </w:pPr>
            <w:r w:rsidRPr="005122D7">
              <w:rPr>
                <w:rFonts w:ascii="Palatino Linotype" w:hAnsi="Palatino Linotype" w:cs="Arial"/>
                <w:color w:val="000000"/>
                <w:sz w:val="22"/>
                <w:szCs w:val="22"/>
              </w:rPr>
              <w:t>38.9</w:t>
            </w:r>
          </w:p>
        </w:tc>
        <w:tc>
          <w:tcPr>
            <w:tcW w:w="855" w:type="dxa"/>
            <w:tcBorders>
              <w:top w:val="single" w:sz="4" w:space="0" w:color="auto"/>
              <w:bottom w:val="single" w:sz="4" w:space="0" w:color="auto"/>
            </w:tcBorders>
            <w:shd w:val="clear" w:color="auto" w:fill="auto"/>
            <w:noWrap/>
            <w:hideMark/>
          </w:tcPr>
          <w:p w14:paraId="0CC34F46" w14:textId="77777777" w:rsidR="00B73608" w:rsidRPr="005122D7" w:rsidRDefault="00B73608" w:rsidP="00B73608">
            <w:pPr>
              <w:jc w:val="right"/>
              <w:rPr>
                <w:rFonts w:ascii="Palatino Linotype" w:hAnsi="Palatino Linotype" w:cs="Arial"/>
                <w:color w:val="000000"/>
                <w:sz w:val="22"/>
                <w:szCs w:val="22"/>
              </w:rPr>
            </w:pPr>
            <w:r w:rsidRPr="005122D7">
              <w:rPr>
                <w:rFonts w:ascii="Palatino Linotype" w:hAnsi="Palatino Linotype" w:cs="Arial"/>
                <w:color w:val="000000"/>
                <w:sz w:val="22"/>
                <w:szCs w:val="22"/>
              </w:rPr>
              <w:t>39.4</w:t>
            </w:r>
          </w:p>
        </w:tc>
        <w:tc>
          <w:tcPr>
            <w:tcW w:w="855" w:type="dxa"/>
            <w:tcBorders>
              <w:top w:val="single" w:sz="4" w:space="0" w:color="auto"/>
              <w:bottom w:val="single" w:sz="4" w:space="0" w:color="auto"/>
            </w:tcBorders>
            <w:shd w:val="clear" w:color="auto" w:fill="auto"/>
            <w:noWrap/>
            <w:hideMark/>
          </w:tcPr>
          <w:p w14:paraId="3BC4F165" w14:textId="77777777" w:rsidR="00B73608" w:rsidRPr="005122D7" w:rsidRDefault="00B73608" w:rsidP="00B73608">
            <w:pPr>
              <w:jc w:val="right"/>
              <w:rPr>
                <w:rFonts w:ascii="Palatino Linotype" w:hAnsi="Palatino Linotype" w:cs="Arial"/>
                <w:color w:val="000000"/>
                <w:sz w:val="22"/>
                <w:szCs w:val="22"/>
              </w:rPr>
            </w:pPr>
            <w:r w:rsidRPr="005122D7">
              <w:rPr>
                <w:rFonts w:ascii="Palatino Linotype" w:hAnsi="Palatino Linotype" w:cs="Arial"/>
                <w:color w:val="000000"/>
                <w:sz w:val="22"/>
                <w:szCs w:val="22"/>
              </w:rPr>
              <w:t>40.1</w:t>
            </w:r>
          </w:p>
        </w:tc>
        <w:tc>
          <w:tcPr>
            <w:tcW w:w="855" w:type="dxa"/>
            <w:tcBorders>
              <w:top w:val="single" w:sz="4" w:space="0" w:color="auto"/>
              <w:bottom w:val="single" w:sz="4" w:space="0" w:color="auto"/>
            </w:tcBorders>
          </w:tcPr>
          <w:p w14:paraId="0D6D75AE" w14:textId="77777777" w:rsidR="00B73608" w:rsidRPr="005122D7" w:rsidRDefault="00B73608" w:rsidP="00B73608">
            <w:pPr>
              <w:jc w:val="right"/>
              <w:rPr>
                <w:rFonts w:ascii="Palatino Linotype" w:hAnsi="Palatino Linotype" w:cs="Arial"/>
                <w:color w:val="000000"/>
                <w:sz w:val="22"/>
                <w:szCs w:val="22"/>
              </w:rPr>
            </w:pPr>
            <w:r w:rsidRPr="005122D7">
              <w:rPr>
                <w:rFonts w:ascii="Palatino Linotype" w:hAnsi="Palatino Linotype" w:cs="Arial"/>
                <w:color w:val="000000"/>
                <w:sz w:val="22"/>
                <w:szCs w:val="22"/>
              </w:rPr>
              <w:t>40.1</w:t>
            </w:r>
          </w:p>
        </w:tc>
      </w:tr>
    </w:tbl>
    <w:p w14:paraId="111356F9" w14:textId="77777777" w:rsidR="00633E34" w:rsidRDefault="00633E34" w:rsidP="00633E34">
      <w:pPr>
        <w:spacing w:line="360" w:lineRule="auto"/>
        <w:contextualSpacing/>
        <w:jc w:val="both"/>
        <w:rPr>
          <w:rFonts w:ascii="Palatino Linotype" w:eastAsia="Calibri" w:hAnsi="Palatino Linotype"/>
        </w:rPr>
      </w:pPr>
    </w:p>
    <w:p w14:paraId="42A7DD22" w14:textId="485FA355" w:rsidR="00414D0E" w:rsidRDefault="00775195" w:rsidP="000B2682">
      <w:pPr>
        <w:spacing w:line="360" w:lineRule="auto"/>
        <w:ind w:firstLine="720"/>
        <w:contextualSpacing/>
        <w:jc w:val="both"/>
        <w:rPr>
          <w:rFonts w:ascii="Palatino Linotype" w:eastAsia="Calibri" w:hAnsi="Palatino Linotype"/>
        </w:rPr>
      </w:pPr>
      <w:r>
        <w:rPr>
          <w:rFonts w:ascii="Palatino Linotype" w:eastAsia="Calibri" w:hAnsi="Palatino Linotype"/>
        </w:rPr>
        <w:t xml:space="preserve">Finished gasoline and on-road diesel emissions </w:t>
      </w:r>
      <w:r w:rsidR="00EE6C42">
        <w:rPr>
          <w:rFonts w:ascii="Palatino Linotype" w:eastAsia="Calibri" w:hAnsi="Palatino Linotype"/>
        </w:rPr>
        <w:t>are 40.1 MMTCO</w:t>
      </w:r>
      <w:r>
        <w:rPr>
          <w:rFonts w:ascii="Palatino Linotype" w:eastAsia="Calibri" w:hAnsi="Palatino Linotype"/>
        </w:rPr>
        <w:t>2E o</w:t>
      </w:r>
      <w:r w:rsidR="00891881">
        <w:rPr>
          <w:rFonts w:ascii="Palatino Linotype" w:eastAsia="Calibri" w:hAnsi="Palatino Linotype"/>
        </w:rPr>
        <w:t>ut of the</w:t>
      </w:r>
      <w:r>
        <w:rPr>
          <w:rFonts w:ascii="Palatino Linotype" w:eastAsia="Calibri" w:hAnsi="Palatino Linotype"/>
        </w:rPr>
        <w:t xml:space="preserve"> total </w:t>
      </w:r>
      <w:r w:rsidR="006D694D">
        <w:rPr>
          <w:rFonts w:ascii="Palatino Linotype" w:eastAsia="Calibri" w:hAnsi="Palatino Linotype"/>
        </w:rPr>
        <w:t>emissions from the transportation sector</w:t>
      </w:r>
      <w:r>
        <w:rPr>
          <w:rFonts w:ascii="Palatino Linotype" w:eastAsia="Calibri" w:hAnsi="Palatino Linotype"/>
        </w:rPr>
        <w:t xml:space="preserve">. </w:t>
      </w:r>
      <w:r w:rsidR="008903D8" w:rsidRPr="00891881">
        <w:rPr>
          <w:rFonts w:ascii="Palatino Linotype" w:eastAsia="Calibri" w:hAnsi="Palatino Linotype"/>
        </w:rPr>
        <w:t xml:space="preserve"> The </w:t>
      </w:r>
      <w:r>
        <w:rPr>
          <w:rFonts w:ascii="Palatino Linotype" w:eastAsia="Calibri" w:hAnsi="Palatino Linotype"/>
        </w:rPr>
        <w:t>total</w:t>
      </w:r>
      <w:r w:rsidR="00A30CAE" w:rsidRPr="00891881">
        <w:rPr>
          <w:rFonts w:ascii="Palatino Linotype" w:eastAsia="Calibri" w:hAnsi="Palatino Linotype"/>
        </w:rPr>
        <w:t xml:space="preserve"> emissions from </w:t>
      </w:r>
      <w:r>
        <w:rPr>
          <w:rFonts w:ascii="Palatino Linotype" w:eastAsia="Calibri" w:hAnsi="Palatino Linotype"/>
        </w:rPr>
        <w:t>finished gasoline and on-road diesel</w:t>
      </w:r>
      <w:r w:rsidR="008903D8" w:rsidRPr="00891881">
        <w:rPr>
          <w:rFonts w:ascii="Palatino Linotype" w:eastAsia="Calibri" w:hAnsi="Palatino Linotype"/>
        </w:rPr>
        <w:t xml:space="preserve"> in Table </w:t>
      </w:r>
      <w:r w:rsidR="00EE6C42">
        <w:rPr>
          <w:rFonts w:ascii="Palatino Linotype" w:eastAsia="Calibri" w:hAnsi="Palatino Linotype"/>
        </w:rPr>
        <w:t>2</w:t>
      </w:r>
      <w:r w:rsidR="008903D8" w:rsidRPr="00891881">
        <w:rPr>
          <w:rFonts w:ascii="Palatino Linotype" w:eastAsia="Calibri" w:hAnsi="Palatino Linotype"/>
        </w:rPr>
        <w:t xml:space="preserve"> </w:t>
      </w:r>
      <w:r w:rsidR="00BF3D39" w:rsidRPr="00891881">
        <w:rPr>
          <w:rFonts w:ascii="Palatino Linotype" w:eastAsia="Calibri" w:hAnsi="Palatino Linotype"/>
        </w:rPr>
        <w:t>establish the baseline GHG emissions</w:t>
      </w:r>
      <w:r w:rsidR="00A30CAE" w:rsidRPr="00891881">
        <w:rPr>
          <w:rFonts w:ascii="Palatino Linotype" w:eastAsia="Calibri" w:hAnsi="Palatino Linotype"/>
        </w:rPr>
        <w:t xml:space="preserve"> that would be affected by the cap outlined </w:t>
      </w:r>
      <w:r w:rsidR="00891881" w:rsidRPr="00891881">
        <w:rPr>
          <w:rFonts w:ascii="Palatino Linotype" w:eastAsia="Calibri" w:hAnsi="Palatino Linotype"/>
        </w:rPr>
        <w:t>in</w:t>
      </w:r>
      <w:r w:rsidR="00155D8A">
        <w:rPr>
          <w:rFonts w:ascii="Palatino Linotype" w:eastAsia="Calibri" w:hAnsi="Palatino Linotype"/>
        </w:rPr>
        <w:t xml:space="preserve"> TCI</w:t>
      </w:r>
      <w:r w:rsidR="00A30CAE" w:rsidRPr="00891881">
        <w:rPr>
          <w:rFonts w:ascii="Palatino Linotype" w:eastAsia="Calibri" w:hAnsi="Palatino Linotype"/>
        </w:rPr>
        <w:t>.</w:t>
      </w:r>
      <w:r w:rsidR="00A30CAE">
        <w:rPr>
          <w:rFonts w:ascii="Palatino Linotype" w:eastAsia="Calibri" w:hAnsi="Palatino Linotype"/>
        </w:rPr>
        <w:t xml:space="preserve"> </w:t>
      </w:r>
      <w:r w:rsidR="00525188">
        <w:rPr>
          <w:rFonts w:ascii="Palatino Linotype" w:eastAsia="Calibri" w:hAnsi="Palatino Linotype"/>
        </w:rPr>
        <w:t xml:space="preserve">  </w:t>
      </w:r>
      <w:r w:rsidR="00C967D3">
        <w:rPr>
          <w:rFonts w:ascii="Palatino Linotype" w:eastAsia="Calibri" w:hAnsi="Palatino Linotype"/>
        </w:rPr>
        <w:t xml:space="preserve"> </w:t>
      </w:r>
      <w:r w:rsidR="00A3489F">
        <w:rPr>
          <w:rFonts w:ascii="Palatino Linotype" w:eastAsia="Calibri" w:hAnsi="Palatino Linotype"/>
        </w:rPr>
        <w:t xml:space="preserve">    </w:t>
      </w:r>
      <w:r w:rsidR="0068454E">
        <w:rPr>
          <w:rFonts w:ascii="Palatino Linotype" w:eastAsia="Calibri" w:hAnsi="Palatino Linotype"/>
        </w:rPr>
        <w:t xml:space="preserve">  </w:t>
      </w:r>
    </w:p>
    <w:p w14:paraId="52BB5419" w14:textId="1501CACF" w:rsidR="006C53C7" w:rsidRDefault="008C62B7" w:rsidP="000B2682">
      <w:pPr>
        <w:pStyle w:val="Heading1"/>
        <w:rPr>
          <w:rFonts w:ascii="Palatino Linotype" w:hAnsi="Palatino Linotype"/>
          <w:b/>
          <w:noProof/>
          <w:color w:val="000000" w:themeColor="text1"/>
          <w:sz w:val="32"/>
          <w:szCs w:val="32"/>
        </w:rPr>
      </w:pPr>
      <w:bookmarkStart w:id="13" w:name="_Toc31710869"/>
      <w:bookmarkStart w:id="14" w:name="_Toc55394588"/>
      <w:r w:rsidRPr="00EE6C42">
        <w:rPr>
          <w:rFonts w:ascii="Palatino Linotype" w:hAnsi="Palatino Linotype"/>
          <w:b/>
          <w:noProof/>
          <w:color w:val="000000" w:themeColor="text1"/>
          <w:sz w:val="32"/>
          <w:szCs w:val="32"/>
        </w:rPr>
        <w:t xml:space="preserve">The Costs and Benefits of </w:t>
      </w:r>
      <w:r w:rsidR="00AF38EC" w:rsidRPr="00EE6C42">
        <w:rPr>
          <w:rFonts w:ascii="Palatino Linotype" w:hAnsi="Palatino Linotype"/>
          <w:b/>
          <w:noProof/>
          <w:color w:val="000000" w:themeColor="text1"/>
          <w:sz w:val="32"/>
          <w:szCs w:val="32"/>
        </w:rPr>
        <w:t xml:space="preserve">Virginia </w:t>
      </w:r>
      <w:r w:rsidR="00063782" w:rsidRPr="00EE6C42">
        <w:rPr>
          <w:rFonts w:ascii="Palatino Linotype" w:hAnsi="Palatino Linotype"/>
          <w:b/>
          <w:noProof/>
          <w:color w:val="000000" w:themeColor="text1"/>
          <w:sz w:val="32"/>
          <w:szCs w:val="32"/>
        </w:rPr>
        <w:t xml:space="preserve"> </w:t>
      </w:r>
      <w:r w:rsidRPr="00EE6C42">
        <w:rPr>
          <w:rFonts w:ascii="Palatino Linotype" w:hAnsi="Palatino Linotype"/>
          <w:b/>
          <w:noProof/>
          <w:color w:val="000000" w:themeColor="text1"/>
          <w:sz w:val="32"/>
          <w:szCs w:val="32"/>
        </w:rPr>
        <w:t>Participating in TCI</w:t>
      </w:r>
      <w:bookmarkEnd w:id="13"/>
      <w:bookmarkEnd w:id="14"/>
    </w:p>
    <w:p w14:paraId="00CE1D00" w14:textId="77777777" w:rsidR="000B2682" w:rsidRPr="000B2682" w:rsidRDefault="000B2682" w:rsidP="000B2682">
      <w:pPr>
        <w:rPr>
          <w:rFonts w:eastAsia="Calibri"/>
        </w:rPr>
      </w:pPr>
    </w:p>
    <w:p w14:paraId="779630C6" w14:textId="41237E81" w:rsidR="000A28CB" w:rsidRPr="00EE6C42" w:rsidRDefault="005D535F" w:rsidP="005538D1">
      <w:pPr>
        <w:spacing w:line="360" w:lineRule="auto"/>
        <w:ind w:firstLine="720"/>
        <w:contextualSpacing/>
        <w:jc w:val="both"/>
        <w:rPr>
          <w:rFonts w:ascii="Palatino Linotype" w:eastAsia="Calibri" w:hAnsi="Palatino Linotype"/>
        </w:rPr>
      </w:pPr>
      <w:r w:rsidRPr="00EE6C42">
        <w:rPr>
          <w:rFonts w:ascii="Palatino Linotype" w:eastAsia="Calibri" w:hAnsi="Palatino Linotype"/>
        </w:rPr>
        <w:t xml:space="preserve">Each participating jurisdiction, in this case </w:t>
      </w:r>
      <w:r w:rsidR="00D7023F" w:rsidRPr="00EE6C42">
        <w:rPr>
          <w:rFonts w:ascii="Palatino Linotype" w:eastAsia="Calibri" w:hAnsi="Palatino Linotype"/>
        </w:rPr>
        <w:t>Virginia,</w:t>
      </w:r>
      <w:r w:rsidRPr="00EE6C42">
        <w:rPr>
          <w:rFonts w:ascii="Palatino Linotype" w:eastAsia="Calibri" w:hAnsi="Palatino Linotype"/>
        </w:rPr>
        <w:t xml:space="preserve"> would set a cap on emissions from finished motor gasoline and on-road diesel</w:t>
      </w:r>
      <w:r w:rsidR="006B46B4">
        <w:rPr>
          <w:rFonts w:ascii="Palatino Linotype" w:eastAsia="Calibri" w:hAnsi="Palatino Linotype"/>
        </w:rPr>
        <w:t>, accomplished by capping and reducing the supply available for sale</w:t>
      </w:r>
      <w:r w:rsidRPr="00EE6C42">
        <w:rPr>
          <w:rFonts w:ascii="Palatino Linotype" w:eastAsia="Calibri" w:hAnsi="Palatino Linotype"/>
        </w:rPr>
        <w:t xml:space="preserve">. We assume that </w:t>
      </w:r>
      <w:r w:rsidR="00D7023F" w:rsidRPr="00EE6C42">
        <w:rPr>
          <w:rFonts w:ascii="Palatino Linotype" w:eastAsia="Calibri" w:hAnsi="Palatino Linotype"/>
        </w:rPr>
        <w:t>Virginia,</w:t>
      </w:r>
      <w:r w:rsidRPr="00EE6C42">
        <w:rPr>
          <w:rFonts w:ascii="Palatino Linotype" w:eastAsia="Calibri" w:hAnsi="Palatino Linotype"/>
        </w:rPr>
        <w:t xml:space="preserve"> if </w:t>
      </w:r>
      <w:r w:rsidR="00035568">
        <w:rPr>
          <w:rFonts w:ascii="Palatino Linotype" w:eastAsia="Calibri" w:hAnsi="Palatino Linotype"/>
        </w:rPr>
        <w:t>it</w:t>
      </w:r>
      <w:r w:rsidRPr="00EE6C42">
        <w:rPr>
          <w:rFonts w:ascii="Palatino Linotype" w:eastAsia="Calibri" w:hAnsi="Palatino Linotype"/>
        </w:rPr>
        <w:t xml:space="preserve"> were to participate, would set emissions caps of between 20-25 percent</w:t>
      </w:r>
      <w:r w:rsidR="00B97960" w:rsidRPr="00EE6C42">
        <w:rPr>
          <w:rFonts w:ascii="Palatino Linotype" w:eastAsia="Calibri" w:hAnsi="Palatino Linotype"/>
        </w:rPr>
        <w:t xml:space="preserve">. </w:t>
      </w:r>
      <w:r w:rsidR="00195B7B" w:rsidRPr="00EE6C42">
        <w:rPr>
          <w:rFonts w:ascii="Palatino Linotype" w:eastAsia="Calibri" w:hAnsi="Palatino Linotype"/>
        </w:rPr>
        <w:t>In our analysis</w:t>
      </w:r>
      <w:r w:rsidR="00035568">
        <w:rPr>
          <w:rFonts w:ascii="Palatino Linotype" w:eastAsia="Calibri" w:hAnsi="Palatino Linotype"/>
        </w:rPr>
        <w:t>,</w:t>
      </w:r>
      <w:r w:rsidR="00195B7B" w:rsidRPr="00EE6C42">
        <w:rPr>
          <w:rFonts w:ascii="Palatino Linotype" w:eastAsia="Calibri" w:hAnsi="Palatino Linotype"/>
        </w:rPr>
        <w:t xml:space="preserve"> we consider </w:t>
      </w:r>
      <w:r w:rsidR="00C57F7F">
        <w:rPr>
          <w:rFonts w:ascii="Palatino Linotype" w:eastAsia="Calibri" w:hAnsi="Palatino Linotype"/>
        </w:rPr>
        <w:t xml:space="preserve">the period 2022 to 2026 to </w:t>
      </w:r>
      <w:r w:rsidR="00195B7B" w:rsidRPr="00EE6C42">
        <w:rPr>
          <w:rFonts w:ascii="Palatino Linotype" w:eastAsia="Calibri" w:hAnsi="Palatino Linotype"/>
        </w:rPr>
        <w:t xml:space="preserve">allow for the implementation of the </w:t>
      </w:r>
      <w:r w:rsidR="00B97960" w:rsidRPr="00EE6C42">
        <w:rPr>
          <w:rFonts w:ascii="Palatino Linotype" w:eastAsia="Calibri" w:hAnsi="Palatino Linotype"/>
        </w:rPr>
        <w:t>program</w:t>
      </w:r>
      <w:r w:rsidR="00195B7B" w:rsidRPr="00EE6C42">
        <w:rPr>
          <w:rFonts w:ascii="Palatino Linotype" w:eastAsia="Calibri" w:hAnsi="Palatino Linotype"/>
        </w:rPr>
        <w:t xml:space="preserve">. </w:t>
      </w:r>
    </w:p>
    <w:p w14:paraId="4379E87A" w14:textId="0C8A778E" w:rsidR="00633E34" w:rsidRPr="00775195" w:rsidRDefault="0090028F" w:rsidP="00155D8A">
      <w:pPr>
        <w:spacing w:line="360" w:lineRule="auto"/>
        <w:ind w:firstLine="720"/>
        <w:contextualSpacing/>
        <w:jc w:val="both"/>
        <w:rPr>
          <w:rFonts w:ascii="Palatino Linotype" w:eastAsia="Calibri" w:hAnsi="Palatino Linotype"/>
        </w:rPr>
      </w:pPr>
      <w:r w:rsidRPr="00E1715B">
        <w:rPr>
          <w:rFonts w:ascii="Palatino Linotype" w:eastAsia="Calibri" w:hAnsi="Palatino Linotype"/>
        </w:rPr>
        <w:t xml:space="preserve">Emissions subject to the cap would be </w:t>
      </w:r>
      <w:r w:rsidR="004C766C" w:rsidRPr="00E1715B">
        <w:rPr>
          <w:rFonts w:ascii="Palatino Linotype" w:eastAsia="Calibri" w:hAnsi="Palatino Linotype"/>
        </w:rPr>
        <w:t>40.1</w:t>
      </w:r>
      <w:r w:rsidRPr="00E1715B">
        <w:rPr>
          <w:rFonts w:ascii="Palatino Linotype" w:eastAsia="Calibri" w:hAnsi="Palatino Linotype"/>
        </w:rPr>
        <w:t xml:space="preserve"> MMTCO2E in 2017, </w:t>
      </w:r>
      <w:r w:rsidR="00AF13D7">
        <w:rPr>
          <w:rFonts w:ascii="Palatino Linotype" w:eastAsia="Calibri" w:hAnsi="Palatino Linotype"/>
        </w:rPr>
        <w:t xml:space="preserve">according to </w:t>
      </w:r>
      <w:r w:rsidRPr="00E1715B">
        <w:rPr>
          <w:rFonts w:ascii="Palatino Linotype" w:eastAsia="Calibri" w:hAnsi="Palatino Linotype"/>
        </w:rPr>
        <w:t xml:space="preserve">the latest data available. </w:t>
      </w:r>
      <w:r w:rsidR="00A3489F" w:rsidRPr="00E1715B">
        <w:rPr>
          <w:rFonts w:ascii="Palatino Linotype" w:eastAsia="Calibri" w:hAnsi="Palatino Linotype"/>
        </w:rPr>
        <w:t xml:space="preserve">We project </w:t>
      </w:r>
      <w:r w:rsidR="00D7023F" w:rsidRPr="00E1715B">
        <w:rPr>
          <w:rFonts w:ascii="Palatino Linotype" w:eastAsia="Calibri" w:hAnsi="Palatino Linotype"/>
        </w:rPr>
        <w:t>Virginia emissions</w:t>
      </w:r>
      <w:r w:rsidR="00A3489F" w:rsidRPr="00E1715B">
        <w:rPr>
          <w:rFonts w:ascii="Palatino Linotype" w:eastAsia="Calibri" w:hAnsi="Palatino Linotype"/>
        </w:rPr>
        <w:t xml:space="preserve"> </w:t>
      </w:r>
      <w:r w:rsidR="001A1A13" w:rsidRPr="00E1715B">
        <w:rPr>
          <w:rFonts w:ascii="Palatino Linotype" w:eastAsia="Calibri" w:hAnsi="Palatino Linotype"/>
        </w:rPr>
        <w:t xml:space="preserve">from finished gasoline and on-road diesel </w:t>
      </w:r>
      <w:r w:rsidR="004E19DA" w:rsidRPr="00E1715B">
        <w:rPr>
          <w:rFonts w:ascii="Palatino Linotype" w:eastAsia="Calibri" w:hAnsi="Palatino Linotype"/>
        </w:rPr>
        <w:t>through 20</w:t>
      </w:r>
      <w:r w:rsidR="00A3489F" w:rsidRPr="00E1715B">
        <w:rPr>
          <w:rFonts w:ascii="Palatino Linotype" w:eastAsia="Calibri" w:hAnsi="Palatino Linotype"/>
        </w:rPr>
        <w:t>26</w:t>
      </w:r>
      <w:r w:rsidR="004E19DA" w:rsidRPr="00E1715B">
        <w:rPr>
          <w:rFonts w:ascii="Palatino Linotype" w:eastAsia="Calibri" w:hAnsi="Palatino Linotype"/>
        </w:rPr>
        <w:t xml:space="preserve"> using the </w:t>
      </w:r>
      <w:r w:rsidR="000120C1" w:rsidRPr="00E1715B">
        <w:rPr>
          <w:rFonts w:ascii="Palatino Linotype" w:eastAsia="Calibri" w:hAnsi="Palatino Linotype"/>
        </w:rPr>
        <w:t xml:space="preserve">compound annual growth rate </w:t>
      </w:r>
      <w:r w:rsidR="004E19DA" w:rsidRPr="00E1715B">
        <w:rPr>
          <w:rFonts w:ascii="Palatino Linotype" w:eastAsia="Calibri" w:hAnsi="Palatino Linotype"/>
        </w:rPr>
        <w:t xml:space="preserve">(CAGR) from </w:t>
      </w:r>
      <w:r w:rsidR="00DC3419" w:rsidRPr="00E1715B">
        <w:rPr>
          <w:rFonts w:ascii="Palatino Linotype" w:eastAsia="Calibri" w:hAnsi="Palatino Linotype"/>
        </w:rPr>
        <w:t xml:space="preserve">2007 </w:t>
      </w:r>
      <w:r w:rsidR="004E19DA" w:rsidRPr="00E1715B">
        <w:rPr>
          <w:rFonts w:ascii="Palatino Linotype" w:eastAsia="Calibri" w:hAnsi="Palatino Linotype"/>
        </w:rPr>
        <w:t>t</w:t>
      </w:r>
      <w:r w:rsidR="00BD27D1" w:rsidRPr="00E1715B">
        <w:rPr>
          <w:rFonts w:ascii="Palatino Linotype" w:eastAsia="Calibri" w:hAnsi="Palatino Linotype"/>
        </w:rPr>
        <w:t>o</w:t>
      </w:r>
      <w:r w:rsidR="004E19DA" w:rsidRPr="00E1715B">
        <w:rPr>
          <w:rFonts w:ascii="Palatino Linotype" w:eastAsia="Calibri" w:hAnsi="Palatino Linotype"/>
        </w:rPr>
        <w:t xml:space="preserve"> 201</w:t>
      </w:r>
      <w:r w:rsidR="00DC3419" w:rsidRPr="00E1715B">
        <w:rPr>
          <w:rFonts w:ascii="Palatino Linotype" w:eastAsia="Calibri" w:hAnsi="Palatino Linotype"/>
        </w:rPr>
        <w:t>7</w:t>
      </w:r>
      <w:r w:rsidR="004E19DA" w:rsidRPr="00E1715B">
        <w:rPr>
          <w:rFonts w:ascii="Palatino Linotype" w:eastAsia="Calibri" w:hAnsi="Palatino Linotype"/>
        </w:rPr>
        <w:t>.</w:t>
      </w:r>
      <w:r w:rsidR="00A3489F" w:rsidRPr="00E1715B">
        <w:rPr>
          <w:rFonts w:ascii="Palatino Linotype" w:eastAsia="Calibri" w:hAnsi="Palatino Linotype"/>
        </w:rPr>
        <w:t xml:space="preserve">  Table </w:t>
      </w:r>
      <w:r w:rsidR="005B24F6" w:rsidRPr="00E1715B">
        <w:rPr>
          <w:rFonts w:ascii="Palatino Linotype" w:eastAsia="Calibri" w:hAnsi="Palatino Linotype"/>
        </w:rPr>
        <w:t>3</w:t>
      </w:r>
      <w:r w:rsidR="00A3489F" w:rsidRPr="00E1715B">
        <w:rPr>
          <w:rFonts w:ascii="Palatino Linotype" w:eastAsia="Calibri" w:hAnsi="Palatino Linotype"/>
        </w:rPr>
        <w:t xml:space="preserve"> contains the results.</w:t>
      </w:r>
      <w:r w:rsidR="00A3489F" w:rsidRPr="00775195">
        <w:rPr>
          <w:rFonts w:ascii="Palatino Linotype" w:eastAsia="Calibri" w:hAnsi="Palatino Linotype"/>
        </w:rPr>
        <w:t xml:space="preserve"> </w:t>
      </w:r>
    </w:p>
    <w:p w14:paraId="57C28C8D" w14:textId="088ACC88" w:rsidR="00EE6C42" w:rsidRPr="001A1A13" w:rsidRDefault="00EE6C42" w:rsidP="00EE6C42">
      <w:pPr>
        <w:pStyle w:val="Caption"/>
        <w:jc w:val="center"/>
        <w:rPr>
          <w:rFonts w:ascii="Palatino Linotype" w:eastAsia="Calibri" w:hAnsi="Palatino Linotype"/>
          <w:sz w:val="24"/>
          <w:szCs w:val="24"/>
        </w:rPr>
      </w:pPr>
      <w:bookmarkStart w:id="15" w:name="_Toc7181291"/>
      <w:bookmarkStart w:id="16" w:name="_Toc55394593"/>
      <w:r w:rsidRPr="001A1A13">
        <w:rPr>
          <w:rFonts w:ascii="Palatino Linotype" w:eastAsia="Calibri" w:hAnsi="Palatino Linotype"/>
          <w:sz w:val="24"/>
          <w:szCs w:val="24"/>
        </w:rPr>
        <w:t xml:space="preserve">Table </w:t>
      </w:r>
      <w:r w:rsidR="00E1715B">
        <w:rPr>
          <w:rFonts w:ascii="Palatino Linotype" w:eastAsia="Calibri" w:hAnsi="Palatino Linotype"/>
          <w:sz w:val="24"/>
          <w:szCs w:val="24"/>
        </w:rPr>
        <w:t>3</w:t>
      </w:r>
      <w:r w:rsidRPr="001A1A13">
        <w:rPr>
          <w:rFonts w:ascii="Palatino Linotype" w:eastAsia="Calibri" w:hAnsi="Palatino Linotype"/>
          <w:bCs w:val="0"/>
          <w:sz w:val="24"/>
          <w:szCs w:val="24"/>
        </w:rPr>
        <w:t>: Baseline Gasoline and Diesel GHG Emissions Projections</w:t>
      </w:r>
      <w:r w:rsidR="00233E35">
        <w:rPr>
          <w:rFonts w:ascii="Palatino Linotype" w:eastAsia="Calibri" w:hAnsi="Palatino Linotype"/>
          <w:bCs w:val="0"/>
          <w:sz w:val="24"/>
          <w:szCs w:val="24"/>
        </w:rPr>
        <w:t xml:space="preserve"> </w:t>
      </w:r>
      <w:r w:rsidR="20190880" w:rsidRPr="719D611F">
        <w:rPr>
          <w:rFonts w:ascii="Palatino Linotype" w:eastAsia="Calibri" w:hAnsi="Palatino Linotype"/>
          <w:sz w:val="24"/>
          <w:szCs w:val="24"/>
        </w:rPr>
        <w:t>(MMTCO2E)</w:t>
      </w:r>
      <w:bookmarkEnd w:id="15"/>
      <w:bookmarkEnd w:id="16"/>
    </w:p>
    <w:tbl>
      <w:tblPr>
        <w:tblpPr w:leftFromText="180" w:rightFromText="180" w:vertAnchor="text" w:tblpXSpec="center" w:tblpY="1"/>
        <w:tblOverlap w:val="never"/>
        <w:tblW w:w="8886" w:type="dxa"/>
        <w:tblBorders>
          <w:top w:val="single" w:sz="8" w:space="0" w:color="auto"/>
          <w:bottom w:val="single" w:sz="8" w:space="0" w:color="auto"/>
        </w:tblBorders>
        <w:tblLook w:val="04A0" w:firstRow="1" w:lastRow="0" w:firstColumn="1" w:lastColumn="0" w:noHBand="0" w:noVBand="1"/>
      </w:tblPr>
      <w:tblGrid>
        <w:gridCol w:w="5130"/>
        <w:gridCol w:w="900"/>
        <w:gridCol w:w="720"/>
        <w:gridCol w:w="720"/>
        <w:gridCol w:w="720"/>
        <w:gridCol w:w="696"/>
      </w:tblGrid>
      <w:tr w:rsidR="00EE6C42" w:rsidRPr="001A1A13" w14:paraId="411E4DAC" w14:textId="77777777" w:rsidTr="00353A4C">
        <w:trPr>
          <w:trHeight w:val="315"/>
        </w:trPr>
        <w:tc>
          <w:tcPr>
            <w:tcW w:w="5130" w:type="dxa"/>
            <w:tcBorders>
              <w:top w:val="single" w:sz="8" w:space="0" w:color="auto"/>
              <w:bottom w:val="single" w:sz="8" w:space="0" w:color="auto"/>
            </w:tcBorders>
            <w:shd w:val="clear" w:color="auto" w:fill="auto"/>
            <w:noWrap/>
            <w:vAlign w:val="bottom"/>
            <w:hideMark/>
          </w:tcPr>
          <w:p w14:paraId="5D96D962" w14:textId="77777777" w:rsidR="00EE6C42" w:rsidRPr="001A1A13" w:rsidRDefault="00EE6C42" w:rsidP="00353A4C">
            <w:pPr>
              <w:rPr>
                <w:rFonts w:ascii="Palatino Linotype" w:hAnsi="Palatino Linotype" w:cs="Arial"/>
                <w:b/>
                <w:bCs/>
                <w:color w:val="000000"/>
                <w:sz w:val="22"/>
                <w:szCs w:val="22"/>
              </w:rPr>
            </w:pPr>
            <w:r w:rsidRPr="001A1A13">
              <w:rPr>
                <w:rFonts w:ascii="Palatino Linotype" w:hAnsi="Palatino Linotype" w:cs="Arial"/>
                <w:b/>
                <w:bCs/>
                <w:color w:val="000000"/>
                <w:sz w:val="22"/>
                <w:szCs w:val="22"/>
              </w:rPr>
              <w:t xml:space="preserve">Emissions </w:t>
            </w:r>
          </w:p>
        </w:tc>
        <w:tc>
          <w:tcPr>
            <w:tcW w:w="900" w:type="dxa"/>
            <w:tcBorders>
              <w:top w:val="single" w:sz="8" w:space="0" w:color="auto"/>
              <w:bottom w:val="single" w:sz="8" w:space="0" w:color="auto"/>
            </w:tcBorders>
            <w:shd w:val="clear" w:color="auto" w:fill="auto"/>
            <w:noWrap/>
            <w:vAlign w:val="bottom"/>
            <w:hideMark/>
          </w:tcPr>
          <w:p w14:paraId="7F1E6E79" w14:textId="77777777" w:rsidR="00EE6C42" w:rsidRPr="001A1A13" w:rsidRDefault="00EE6C42" w:rsidP="00353A4C">
            <w:pPr>
              <w:jc w:val="right"/>
              <w:rPr>
                <w:rFonts w:ascii="Palatino Linotype" w:hAnsi="Palatino Linotype" w:cs="Arial"/>
                <w:b/>
                <w:bCs/>
                <w:color w:val="000000"/>
                <w:sz w:val="22"/>
                <w:szCs w:val="22"/>
              </w:rPr>
            </w:pPr>
            <w:r w:rsidRPr="001A1A13">
              <w:rPr>
                <w:rFonts w:ascii="Palatino Linotype" w:hAnsi="Palatino Linotype" w:cs="Arial"/>
                <w:b/>
                <w:bCs/>
                <w:color w:val="000000"/>
                <w:sz w:val="22"/>
                <w:szCs w:val="22"/>
              </w:rPr>
              <w:t>2022</w:t>
            </w:r>
          </w:p>
        </w:tc>
        <w:tc>
          <w:tcPr>
            <w:tcW w:w="720" w:type="dxa"/>
            <w:tcBorders>
              <w:top w:val="single" w:sz="8" w:space="0" w:color="auto"/>
              <w:bottom w:val="single" w:sz="8" w:space="0" w:color="auto"/>
            </w:tcBorders>
            <w:shd w:val="clear" w:color="auto" w:fill="auto"/>
            <w:noWrap/>
            <w:vAlign w:val="bottom"/>
            <w:hideMark/>
          </w:tcPr>
          <w:p w14:paraId="4D810B0C" w14:textId="77777777" w:rsidR="00EE6C42" w:rsidRPr="001A1A13" w:rsidRDefault="00EE6C42" w:rsidP="00353A4C">
            <w:pPr>
              <w:jc w:val="right"/>
              <w:rPr>
                <w:rFonts w:ascii="Palatino Linotype" w:hAnsi="Palatino Linotype" w:cs="Arial"/>
                <w:b/>
                <w:bCs/>
                <w:color w:val="000000"/>
                <w:sz w:val="22"/>
                <w:szCs w:val="22"/>
              </w:rPr>
            </w:pPr>
            <w:r w:rsidRPr="001A1A13">
              <w:rPr>
                <w:rFonts w:ascii="Palatino Linotype" w:hAnsi="Palatino Linotype" w:cs="Arial"/>
                <w:b/>
                <w:bCs/>
                <w:color w:val="000000"/>
                <w:sz w:val="22"/>
                <w:szCs w:val="22"/>
              </w:rPr>
              <w:t>2023</w:t>
            </w:r>
          </w:p>
        </w:tc>
        <w:tc>
          <w:tcPr>
            <w:tcW w:w="720" w:type="dxa"/>
            <w:tcBorders>
              <w:top w:val="single" w:sz="8" w:space="0" w:color="auto"/>
              <w:bottom w:val="single" w:sz="8" w:space="0" w:color="auto"/>
            </w:tcBorders>
            <w:shd w:val="clear" w:color="auto" w:fill="auto"/>
            <w:noWrap/>
            <w:vAlign w:val="bottom"/>
            <w:hideMark/>
          </w:tcPr>
          <w:p w14:paraId="6A91A532" w14:textId="77777777" w:rsidR="00EE6C42" w:rsidRPr="001A1A13" w:rsidRDefault="00EE6C42" w:rsidP="00353A4C">
            <w:pPr>
              <w:jc w:val="right"/>
              <w:rPr>
                <w:rFonts w:ascii="Palatino Linotype" w:hAnsi="Palatino Linotype" w:cs="Arial"/>
                <w:b/>
                <w:bCs/>
                <w:color w:val="000000"/>
                <w:sz w:val="22"/>
                <w:szCs w:val="22"/>
              </w:rPr>
            </w:pPr>
            <w:r w:rsidRPr="001A1A13">
              <w:rPr>
                <w:rFonts w:ascii="Palatino Linotype" w:hAnsi="Palatino Linotype" w:cs="Arial"/>
                <w:b/>
                <w:bCs/>
                <w:color w:val="000000"/>
                <w:sz w:val="22"/>
                <w:szCs w:val="22"/>
              </w:rPr>
              <w:t>2024</w:t>
            </w:r>
          </w:p>
        </w:tc>
        <w:tc>
          <w:tcPr>
            <w:tcW w:w="720" w:type="dxa"/>
            <w:tcBorders>
              <w:top w:val="single" w:sz="8" w:space="0" w:color="auto"/>
              <w:bottom w:val="single" w:sz="8" w:space="0" w:color="auto"/>
            </w:tcBorders>
            <w:shd w:val="clear" w:color="auto" w:fill="auto"/>
            <w:noWrap/>
            <w:vAlign w:val="bottom"/>
            <w:hideMark/>
          </w:tcPr>
          <w:p w14:paraId="707B6732" w14:textId="77777777" w:rsidR="00EE6C42" w:rsidRPr="001A1A13" w:rsidRDefault="00EE6C42" w:rsidP="00353A4C">
            <w:pPr>
              <w:jc w:val="right"/>
              <w:rPr>
                <w:rFonts w:ascii="Palatino Linotype" w:hAnsi="Palatino Linotype" w:cs="Arial"/>
                <w:b/>
                <w:bCs/>
                <w:color w:val="000000"/>
                <w:sz w:val="22"/>
                <w:szCs w:val="22"/>
              </w:rPr>
            </w:pPr>
            <w:r w:rsidRPr="001A1A13">
              <w:rPr>
                <w:rFonts w:ascii="Palatino Linotype" w:hAnsi="Palatino Linotype" w:cs="Arial"/>
                <w:b/>
                <w:bCs/>
                <w:color w:val="000000"/>
                <w:sz w:val="22"/>
                <w:szCs w:val="22"/>
              </w:rPr>
              <w:t>2025</w:t>
            </w:r>
          </w:p>
        </w:tc>
        <w:tc>
          <w:tcPr>
            <w:tcW w:w="696" w:type="dxa"/>
            <w:tcBorders>
              <w:top w:val="single" w:sz="8" w:space="0" w:color="auto"/>
              <w:bottom w:val="single" w:sz="8" w:space="0" w:color="auto"/>
            </w:tcBorders>
            <w:shd w:val="clear" w:color="auto" w:fill="auto"/>
            <w:noWrap/>
            <w:vAlign w:val="bottom"/>
            <w:hideMark/>
          </w:tcPr>
          <w:p w14:paraId="4932E8EB" w14:textId="77777777" w:rsidR="00EE6C42" w:rsidRPr="001A1A13" w:rsidRDefault="00EE6C42" w:rsidP="00353A4C">
            <w:pPr>
              <w:jc w:val="right"/>
              <w:rPr>
                <w:rFonts w:ascii="Palatino Linotype" w:hAnsi="Palatino Linotype" w:cs="Arial"/>
                <w:b/>
                <w:bCs/>
                <w:color w:val="000000"/>
                <w:sz w:val="22"/>
                <w:szCs w:val="22"/>
              </w:rPr>
            </w:pPr>
            <w:r w:rsidRPr="001A1A13">
              <w:rPr>
                <w:rFonts w:ascii="Palatino Linotype" w:hAnsi="Palatino Linotype" w:cs="Arial"/>
                <w:b/>
                <w:bCs/>
                <w:color w:val="000000"/>
                <w:sz w:val="22"/>
                <w:szCs w:val="22"/>
              </w:rPr>
              <w:t>2026</w:t>
            </w:r>
          </w:p>
        </w:tc>
      </w:tr>
      <w:tr w:rsidR="00EE6C42" w:rsidRPr="001A1A13" w14:paraId="288722AE" w14:textId="77777777" w:rsidTr="00353A4C">
        <w:trPr>
          <w:trHeight w:val="300"/>
        </w:trPr>
        <w:tc>
          <w:tcPr>
            <w:tcW w:w="5130" w:type="dxa"/>
            <w:tcBorders>
              <w:bottom w:val="single" w:sz="4" w:space="0" w:color="auto"/>
            </w:tcBorders>
            <w:shd w:val="clear" w:color="auto" w:fill="auto"/>
            <w:noWrap/>
            <w:vAlign w:val="bottom"/>
            <w:hideMark/>
          </w:tcPr>
          <w:p w14:paraId="42969235" w14:textId="77777777" w:rsidR="00EE6C42" w:rsidRPr="001A1A13" w:rsidRDefault="00EE6C42" w:rsidP="00353A4C">
            <w:pPr>
              <w:rPr>
                <w:rFonts w:ascii="Palatino Linotype" w:hAnsi="Palatino Linotype" w:cs="Arial"/>
                <w:b/>
                <w:bCs/>
                <w:color w:val="000000"/>
                <w:sz w:val="22"/>
                <w:szCs w:val="22"/>
              </w:rPr>
            </w:pPr>
            <w:r w:rsidRPr="001A1A13">
              <w:rPr>
                <w:rFonts w:ascii="Palatino Linotype" w:hAnsi="Palatino Linotype" w:cs="Arial"/>
                <w:b/>
                <w:bCs/>
                <w:color w:val="000000"/>
                <w:sz w:val="22"/>
                <w:szCs w:val="22"/>
              </w:rPr>
              <w:t>CO2E from Fossil Fuel Combustion (Baseline)</w:t>
            </w:r>
          </w:p>
        </w:tc>
        <w:tc>
          <w:tcPr>
            <w:tcW w:w="900" w:type="dxa"/>
            <w:tcBorders>
              <w:bottom w:val="single" w:sz="4" w:space="0" w:color="auto"/>
            </w:tcBorders>
            <w:shd w:val="clear" w:color="auto" w:fill="auto"/>
            <w:noWrap/>
            <w:vAlign w:val="bottom"/>
            <w:hideMark/>
          </w:tcPr>
          <w:p w14:paraId="2573C31D" w14:textId="77777777" w:rsidR="00EE6C42" w:rsidRPr="001A1A13" w:rsidRDefault="00EE6C42" w:rsidP="00353A4C">
            <w:pPr>
              <w:jc w:val="right"/>
              <w:rPr>
                <w:rFonts w:ascii="Palatino Linotype" w:hAnsi="Palatino Linotype" w:cs="Arial"/>
                <w:color w:val="000000"/>
                <w:sz w:val="22"/>
                <w:szCs w:val="22"/>
              </w:rPr>
            </w:pPr>
          </w:p>
        </w:tc>
        <w:tc>
          <w:tcPr>
            <w:tcW w:w="720" w:type="dxa"/>
            <w:tcBorders>
              <w:bottom w:val="single" w:sz="4" w:space="0" w:color="auto"/>
            </w:tcBorders>
            <w:shd w:val="clear" w:color="auto" w:fill="auto"/>
            <w:noWrap/>
            <w:vAlign w:val="bottom"/>
            <w:hideMark/>
          </w:tcPr>
          <w:p w14:paraId="6510EA6D" w14:textId="77777777" w:rsidR="00EE6C42" w:rsidRPr="001A1A13" w:rsidRDefault="00EE6C42" w:rsidP="00353A4C">
            <w:pPr>
              <w:jc w:val="right"/>
              <w:rPr>
                <w:rFonts w:ascii="Palatino Linotype" w:hAnsi="Palatino Linotype" w:cs="Arial"/>
                <w:color w:val="000000"/>
                <w:sz w:val="22"/>
                <w:szCs w:val="22"/>
              </w:rPr>
            </w:pPr>
          </w:p>
        </w:tc>
        <w:tc>
          <w:tcPr>
            <w:tcW w:w="720" w:type="dxa"/>
            <w:tcBorders>
              <w:bottom w:val="single" w:sz="4" w:space="0" w:color="auto"/>
            </w:tcBorders>
            <w:shd w:val="clear" w:color="auto" w:fill="auto"/>
            <w:noWrap/>
            <w:vAlign w:val="bottom"/>
            <w:hideMark/>
          </w:tcPr>
          <w:p w14:paraId="54FE4EF5" w14:textId="77777777" w:rsidR="00EE6C42" w:rsidRPr="001A1A13" w:rsidRDefault="00EE6C42" w:rsidP="00353A4C">
            <w:pPr>
              <w:jc w:val="right"/>
              <w:rPr>
                <w:rFonts w:ascii="Palatino Linotype" w:hAnsi="Palatino Linotype" w:cs="Arial"/>
                <w:color w:val="000000"/>
                <w:sz w:val="22"/>
                <w:szCs w:val="22"/>
              </w:rPr>
            </w:pPr>
          </w:p>
        </w:tc>
        <w:tc>
          <w:tcPr>
            <w:tcW w:w="720" w:type="dxa"/>
            <w:tcBorders>
              <w:bottom w:val="single" w:sz="4" w:space="0" w:color="auto"/>
            </w:tcBorders>
            <w:shd w:val="clear" w:color="auto" w:fill="auto"/>
            <w:noWrap/>
            <w:vAlign w:val="bottom"/>
            <w:hideMark/>
          </w:tcPr>
          <w:p w14:paraId="3B27F468" w14:textId="77777777" w:rsidR="00EE6C42" w:rsidRPr="001A1A13" w:rsidRDefault="00EE6C42" w:rsidP="00353A4C">
            <w:pPr>
              <w:jc w:val="right"/>
              <w:rPr>
                <w:rFonts w:ascii="Palatino Linotype" w:hAnsi="Palatino Linotype" w:cs="Arial"/>
                <w:color w:val="000000"/>
                <w:sz w:val="22"/>
                <w:szCs w:val="22"/>
              </w:rPr>
            </w:pPr>
          </w:p>
        </w:tc>
        <w:tc>
          <w:tcPr>
            <w:tcW w:w="696" w:type="dxa"/>
            <w:tcBorders>
              <w:bottom w:val="single" w:sz="4" w:space="0" w:color="auto"/>
            </w:tcBorders>
            <w:shd w:val="clear" w:color="auto" w:fill="auto"/>
            <w:noWrap/>
            <w:vAlign w:val="bottom"/>
            <w:hideMark/>
          </w:tcPr>
          <w:p w14:paraId="06D806BD" w14:textId="77777777" w:rsidR="00EE6C42" w:rsidRPr="001A1A13" w:rsidRDefault="00EE6C42" w:rsidP="00353A4C">
            <w:pPr>
              <w:jc w:val="center"/>
              <w:rPr>
                <w:rFonts w:ascii="Palatino Linotype" w:hAnsi="Palatino Linotype" w:cs="Arial"/>
                <w:sz w:val="22"/>
                <w:szCs w:val="22"/>
              </w:rPr>
            </w:pPr>
          </w:p>
        </w:tc>
      </w:tr>
      <w:tr w:rsidR="00EE6C42" w:rsidRPr="001A1A13" w14:paraId="415CBE11" w14:textId="77777777" w:rsidTr="00353A4C">
        <w:trPr>
          <w:trHeight w:val="300"/>
        </w:trPr>
        <w:tc>
          <w:tcPr>
            <w:tcW w:w="5130" w:type="dxa"/>
            <w:tcBorders>
              <w:top w:val="single" w:sz="4" w:space="0" w:color="auto"/>
              <w:bottom w:val="nil"/>
            </w:tcBorders>
            <w:shd w:val="clear" w:color="auto" w:fill="auto"/>
            <w:noWrap/>
            <w:vAlign w:val="bottom"/>
            <w:hideMark/>
          </w:tcPr>
          <w:p w14:paraId="634A3285" w14:textId="77777777" w:rsidR="00EE6C42" w:rsidRPr="001A1A13" w:rsidRDefault="00EE6C42" w:rsidP="00353A4C">
            <w:pPr>
              <w:ind w:firstLineChars="238" w:firstLine="524"/>
              <w:rPr>
                <w:rFonts w:ascii="Palatino Linotype" w:hAnsi="Palatino Linotype" w:cs="Arial"/>
                <w:sz w:val="22"/>
                <w:szCs w:val="22"/>
              </w:rPr>
            </w:pPr>
            <w:r w:rsidRPr="001A1A13">
              <w:rPr>
                <w:rFonts w:ascii="Palatino Linotype" w:hAnsi="Palatino Linotype" w:cs="Arial"/>
                <w:sz w:val="22"/>
                <w:szCs w:val="22"/>
              </w:rPr>
              <w:t>Finished Gasoline</w:t>
            </w:r>
          </w:p>
        </w:tc>
        <w:tc>
          <w:tcPr>
            <w:tcW w:w="900" w:type="dxa"/>
            <w:tcBorders>
              <w:top w:val="single" w:sz="4" w:space="0" w:color="auto"/>
              <w:bottom w:val="nil"/>
            </w:tcBorders>
            <w:shd w:val="clear" w:color="auto" w:fill="auto"/>
            <w:noWrap/>
            <w:vAlign w:val="bottom"/>
            <w:hideMark/>
          </w:tcPr>
          <w:p w14:paraId="3080F2D5" w14:textId="77777777" w:rsidR="00EE6C42" w:rsidRPr="001A1A13" w:rsidRDefault="00EE6C42" w:rsidP="00353A4C">
            <w:pPr>
              <w:jc w:val="right"/>
              <w:rPr>
                <w:rFonts w:ascii="Palatino Linotype" w:hAnsi="Palatino Linotype" w:cs="Arial"/>
                <w:sz w:val="22"/>
                <w:szCs w:val="22"/>
              </w:rPr>
            </w:pPr>
            <w:r>
              <w:rPr>
                <w:rFonts w:ascii="Palatino Linotype" w:hAnsi="Palatino Linotype" w:cs="Arial"/>
                <w:sz w:val="22"/>
                <w:szCs w:val="22"/>
              </w:rPr>
              <w:t>28.9</w:t>
            </w:r>
          </w:p>
        </w:tc>
        <w:tc>
          <w:tcPr>
            <w:tcW w:w="720" w:type="dxa"/>
            <w:tcBorders>
              <w:top w:val="single" w:sz="4" w:space="0" w:color="auto"/>
              <w:bottom w:val="nil"/>
            </w:tcBorders>
            <w:shd w:val="clear" w:color="auto" w:fill="auto"/>
            <w:noWrap/>
            <w:vAlign w:val="bottom"/>
            <w:hideMark/>
          </w:tcPr>
          <w:p w14:paraId="5DF0990A" w14:textId="77777777" w:rsidR="00EE6C42" w:rsidRPr="001A1A13" w:rsidRDefault="00EE6C42" w:rsidP="00353A4C">
            <w:pPr>
              <w:jc w:val="right"/>
              <w:rPr>
                <w:rFonts w:ascii="Palatino Linotype" w:hAnsi="Palatino Linotype" w:cs="Arial"/>
                <w:sz w:val="22"/>
                <w:szCs w:val="22"/>
              </w:rPr>
            </w:pPr>
            <w:r>
              <w:rPr>
                <w:rFonts w:ascii="Palatino Linotype" w:hAnsi="Palatino Linotype" w:cs="Arial"/>
                <w:sz w:val="22"/>
                <w:szCs w:val="22"/>
              </w:rPr>
              <w:t>28.9</w:t>
            </w:r>
          </w:p>
        </w:tc>
        <w:tc>
          <w:tcPr>
            <w:tcW w:w="720" w:type="dxa"/>
            <w:tcBorders>
              <w:top w:val="single" w:sz="4" w:space="0" w:color="auto"/>
              <w:bottom w:val="nil"/>
            </w:tcBorders>
            <w:shd w:val="clear" w:color="auto" w:fill="auto"/>
            <w:noWrap/>
            <w:vAlign w:val="bottom"/>
            <w:hideMark/>
          </w:tcPr>
          <w:p w14:paraId="722BEF4B" w14:textId="77777777" w:rsidR="00EE6C42" w:rsidRPr="001A1A13" w:rsidRDefault="00EE6C42" w:rsidP="00353A4C">
            <w:pPr>
              <w:jc w:val="right"/>
              <w:rPr>
                <w:rFonts w:ascii="Palatino Linotype" w:hAnsi="Palatino Linotype" w:cs="Arial"/>
                <w:sz w:val="22"/>
                <w:szCs w:val="22"/>
              </w:rPr>
            </w:pPr>
            <w:r>
              <w:rPr>
                <w:rFonts w:ascii="Palatino Linotype" w:hAnsi="Palatino Linotype" w:cs="Arial"/>
                <w:sz w:val="22"/>
                <w:szCs w:val="22"/>
              </w:rPr>
              <w:t>28.9</w:t>
            </w:r>
          </w:p>
        </w:tc>
        <w:tc>
          <w:tcPr>
            <w:tcW w:w="720" w:type="dxa"/>
            <w:tcBorders>
              <w:top w:val="single" w:sz="4" w:space="0" w:color="auto"/>
              <w:bottom w:val="nil"/>
            </w:tcBorders>
            <w:shd w:val="clear" w:color="auto" w:fill="auto"/>
            <w:noWrap/>
            <w:vAlign w:val="bottom"/>
            <w:hideMark/>
          </w:tcPr>
          <w:p w14:paraId="1A880835" w14:textId="77777777" w:rsidR="00EE6C42" w:rsidRPr="001A1A13" w:rsidRDefault="00EE6C42" w:rsidP="00353A4C">
            <w:pPr>
              <w:jc w:val="right"/>
              <w:rPr>
                <w:rFonts w:ascii="Palatino Linotype" w:hAnsi="Palatino Linotype" w:cs="Arial"/>
                <w:sz w:val="22"/>
                <w:szCs w:val="22"/>
              </w:rPr>
            </w:pPr>
            <w:r>
              <w:rPr>
                <w:rFonts w:ascii="Palatino Linotype" w:hAnsi="Palatino Linotype"/>
                <w:color w:val="000000"/>
                <w:sz w:val="22"/>
                <w:szCs w:val="22"/>
              </w:rPr>
              <w:t>28.9</w:t>
            </w:r>
          </w:p>
        </w:tc>
        <w:tc>
          <w:tcPr>
            <w:tcW w:w="696" w:type="dxa"/>
            <w:tcBorders>
              <w:top w:val="single" w:sz="4" w:space="0" w:color="auto"/>
              <w:bottom w:val="nil"/>
            </w:tcBorders>
            <w:shd w:val="clear" w:color="auto" w:fill="auto"/>
            <w:noWrap/>
            <w:vAlign w:val="bottom"/>
            <w:hideMark/>
          </w:tcPr>
          <w:p w14:paraId="6FAFABBF" w14:textId="77777777" w:rsidR="00EE6C42" w:rsidRPr="001A1A13" w:rsidRDefault="00EE6C42" w:rsidP="00353A4C">
            <w:pPr>
              <w:jc w:val="right"/>
              <w:rPr>
                <w:rFonts w:ascii="Palatino Linotype" w:hAnsi="Palatino Linotype" w:cs="Arial"/>
                <w:sz w:val="22"/>
                <w:szCs w:val="22"/>
              </w:rPr>
            </w:pPr>
            <w:r>
              <w:rPr>
                <w:rFonts w:ascii="Palatino Linotype" w:hAnsi="Palatino Linotype" w:cs="Arial"/>
                <w:sz w:val="22"/>
                <w:szCs w:val="22"/>
              </w:rPr>
              <w:t>28.9</w:t>
            </w:r>
          </w:p>
        </w:tc>
      </w:tr>
      <w:tr w:rsidR="00EE6C42" w:rsidRPr="001A1A13" w14:paraId="426EAE55" w14:textId="77777777" w:rsidTr="00353A4C">
        <w:trPr>
          <w:trHeight w:val="300"/>
        </w:trPr>
        <w:tc>
          <w:tcPr>
            <w:tcW w:w="5130" w:type="dxa"/>
            <w:tcBorders>
              <w:top w:val="nil"/>
              <w:bottom w:val="nil"/>
            </w:tcBorders>
            <w:shd w:val="clear" w:color="auto" w:fill="auto"/>
            <w:noWrap/>
            <w:vAlign w:val="bottom"/>
            <w:hideMark/>
          </w:tcPr>
          <w:p w14:paraId="1DF4596F" w14:textId="77777777" w:rsidR="00EE6C42" w:rsidRPr="001A1A13" w:rsidRDefault="00EE6C42" w:rsidP="00353A4C">
            <w:pPr>
              <w:ind w:firstLineChars="238" w:firstLine="524"/>
              <w:rPr>
                <w:rFonts w:ascii="Palatino Linotype" w:hAnsi="Palatino Linotype" w:cs="Arial"/>
                <w:sz w:val="22"/>
                <w:szCs w:val="22"/>
              </w:rPr>
            </w:pPr>
            <w:r w:rsidRPr="001A1A13">
              <w:rPr>
                <w:rFonts w:ascii="Palatino Linotype" w:hAnsi="Palatino Linotype" w:cs="Arial"/>
                <w:sz w:val="22"/>
                <w:szCs w:val="22"/>
              </w:rPr>
              <w:t>On-Road Diesel</w:t>
            </w:r>
          </w:p>
        </w:tc>
        <w:tc>
          <w:tcPr>
            <w:tcW w:w="900" w:type="dxa"/>
            <w:tcBorders>
              <w:top w:val="nil"/>
              <w:bottom w:val="nil"/>
            </w:tcBorders>
            <w:shd w:val="clear" w:color="auto" w:fill="auto"/>
            <w:noWrap/>
            <w:vAlign w:val="bottom"/>
            <w:hideMark/>
          </w:tcPr>
          <w:p w14:paraId="4217C733" w14:textId="77777777" w:rsidR="00EE6C42" w:rsidRPr="001A1A13" w:rsidRDefault="00EE6C42" w:rsidP="00353A4C">
            <w:pPr>
              <w:jc w:val="right"/>
              <w:rPr>
                <w:rFonts w:ascii="Palatino Linotype" w:hAnsi="Palatino Linotype" w:cs="Arial"/>
                <w:sz w:val="22"/>
                <w:szCs w:val="22"/>
              </w:rPr>
            </w:pPr>
            <w:r>
              <w:rPr>
                <w:rFonts w:ascii="Palatino Linotype" w:hAnsi="Palatino Linotype"/>
                <w:color w:val="000000"/>
                <w:sz w:val="22"/>
                <w:szCs w:val="22"/>
              </w:rPr>
              <w:t>11.0</w:t>
            </w:r>
          </w:p>
        </w:tc>
        <w:tc>
          <w:tcPr>
            <w:tcW w:w="720" w:type="dxa"/>
            <w:tcBorders>
              <w:top w:val="nil"/>
              <w:bottom w:val="nil"/>
            </w:tcBorders>
            <w:shd w:val="clear" w:color="auto" w:fill="auto"/>
            <w:noWrap/>
            <w:vAlign w:val="bottom"/>
            <w:hideMark/>
          </w:tcPr>
          <w:p w14:paraId="2541BB22" w14:textId="77777777" w:rsidR="00EE6C42" w:rsidRPr="001A1A13" w:rsidRDefault="00EE6C42" w:rsidP="00353A4C">
            <w:pPr>
              <w:jc w:val="right"/>
              <w:rPr>
                <w:rFonts w:ascii="Palatino Linotype" w:hAnsi="Palatino Linotype" w:cs="Arial"/>
                <w:sz w:val="22"/>
                <w:szCs w:val="22"/>
              </w:rPr>
            </w:pPr>
            <w:r>
              <w:rPr>
                <w:rFonts w:ascii="Palatino Linotype" w:hAnsi="Palatino Linotype"/>
                <w:color w:val="000000"/>
                <w:sz w:val="22"/>
                <w:szCs w:val="22"/>
              </w:rPr>
              <w:t>10.9</w:t>
            </w:r>
          </w:p>
        </w:tc>
        <w:tc>
          <w:tcPr>
            <w:tcW w:w="720" w:type="dxa"/>
            <w:tcBorders>
              <w:top w:val="nil"/>
              <w:bottom w:val="nil"/>
            </w:tcBorders>
            <w:shd w:val="clear" w:color="auto" w:fill="auto"/>
            <w:noWrap/>
            <w:vAlign w:val="bottom"/>
            <w:hideMark/>
          </w:tcPr>
          <w:p w14:paraId="65B4C564" w14:textId="77777777" w:rsidR="00EE6C42" w:rsidRPr="001A1A13" w:rsidRDefault="00EE6C42" w:rsidP="00353A4C">
            <w:pPr>
              <w:jc w:val="right"/>
              <w:rPr>
                <w:rFonts w:ascii="Palatino Linotype" w:hAnsi="Palatino Linotype" w:cs="Arial"/>
                <w:sz w:val="22"/>
                <w:szCs w:val="22"/>
              </w:rPr>
            </w:pPr>
            <w:r>
              <w:rPr>
                <w:rFonts w:ascii="Palatino Linotype" w:hAnsi="Palatino Linotype"/>
                <w:color w:val="000000"/>
                <w:sz w:val="22"/>
                <w:szCs w:val="22"/>
              </w:rPr>
              <w:t>10.9</w:t>
            </w:r>
          </w:p>
        </w:tc>
        <w:tc>
          <w:tcPr>
            <w:tcW w:w="720" w:type="dxa"/>
            <w:tcBorders>
              <w:top w:val="nil"/>
              <w:bottom w:val="nil"/>
            </w:tcBorders>
            <w:shd w:val="clear" w:color="auto" w:fill="auto"/>
            <w:noWrap/>
            <w:vAlign w:val="bottom"/>
            <w:hideMark/>
          </w:tcPr>
          <w:p w14:paraId="63057673" w14:textId="77777777" w:rsidR="00EE6C42" w:rsidRPr="001A1A13" w:rsidRDefault="00EE6C42" w:rsidP="00353A4C">
            <w:pPr>
              <w:jc w:val="right"/>
              <w:rPr>
                <w:rFonts w:ascii="Palatino Linotype" w:hAnsi="Palatino Linotype" w:cs="Arial"/>
                <w:sz w:val="22"/>
                <w:szCs w:val="22"/>
              </w:rPr>
            </w:pPr>
            <w:r>
              <w:rPr>
                <w:rFonts w:ascii="Palatino Linotype" w:hAnsi="Palatino Linotype"/>
                <w:color w:val="000000"/>
                <w:sz w:val="22"/>
                <w:szCs w:val="22"/>
              </w:rPr>
              <w:t>10.8</w:t>
            </w:r>
          </w:p>
        </w:tc>
        <w:tc>
          <w:tcPr>
            <w:tcW w:w="696" w:type="dxa"/>
            <w:tcBorders>
              <w:top w:val="nil"/>
              <w:bottom w:val="nil"/>
            </w:tcBorders>
            <w:shd w:val="clear" w:color="auto" w:fill="auto"/>
            <w:noWrap/>
            <w:vAlign w:val="bottom"/>
            <w:hideMark/>
          </w:tcPr>
          <w:p w14:paraId="639E13E9" w14:textId="77777777" w:rsidR="00EE6C42" w:rsidRPr="001A1A13" w:rsidRDefault="00EE6C42" w:rsidP="00353A4C">
            <w:pPr>
              <w:jc w:val="right"/>
              <w:rPr>
                <w:rFonts w:ascii="Palatino Linotype" w:hAnsi="Palatino Linotype" w:cs="Arial"/>
                <w:sz w:val="22"/>
                <w:szCs w:val="22"/>
              </w:rPr>
            </w:pPr>
            <w:r>
              <w:rPr>
                <w:rFonts w:ascii="Palatino Linotype" w:hAnsi="Palatino Linotype" w:cs="Arial"/>
                <w:sz w:val="22"/>
                <w:szCs w:val="22"/>
              </w:rPr>
              <w:t>10.8</w:t>
            </w:r>
          </w:p>
        </w:tc>
      </w:tr>
      <w:tr w:rsidR="00EE6C42" w:rsidRPr="001A1A13" w14:paraId="38DBCE23" w14:textId="77777777" w:rsidTr="00353A4C">
        <w:trPr>
          <w:trHeight w:val="300"/>
        </w:trPr>
        <w:tc>
          <w:tcPr>
            <w:tcW w:w="5130" w:type="dxa"/>
            <w:tcBorders>
              <w:top w:val="nil"/>
              <w:bottom w:val="single" w:sz="4" w:space="0" w:color="auto"/>
            </w:tcBorders>
            <w:shd w:val="clear" w:color="auto" w:fill="auto"/>
            <w:noWrap/>
            <w:vAlign w:val="bottom"/>
          </w:tcPr>
          <w:p w14:paraId="2B22C0CE" w14:textId="77777777" w:rsidR="00EE6C42" w:rsidRPr="001A1A13" w:rsidRDefault="00EE6C42" w:rsidP="00353A4C">
            <w:pPr>
              <w:rPr>
                <w:rFonts w:ascii="Palatino Linotype" w:hAnsi="Palatino Linotype" w:cs="Arial"/>
                <w:b/>
                <w:bCs/>
                <w:sz w:val="22"/>
                <w:szCs w:val="22"/>
              </w:rPr>
            </w:pPr>
            <w:r w:rsidRPr="001A1A13">
              <w:rPr>
                <w:rFonts w:ascii="Palatino Linotype" w:hAnsi="Palatino Linotype" w:cs="Arial"/>
                <w:b/>
                <w:bCs/>
                <w:sz w:val="22"/>
                <w:szCs w:val="22"/>
              </w:rPr>
              <w:t xml:space="preserve">    Total Emissions</w:t>
            </w:r>
          </w:p>
        </w:tc>
        <w:tc>
          <w:tcPr>
            <w:tcW w:w="900" w:type="dxa"/>
            <w:tcBorders>
              <w:top w:val="nil"/>
              <w:bottom w:val="single" w:sz="4" w:space="0" w:color="auto"/>
            </w:tcBorders>
            <w:shd w:val="clear" w:color="auto" w:fill="auto"/>
            <w:noWrap/>
            <w:vAlign w:val="bottom"/>
          </w:tcPr>
          <w:p w14:paraId="6F4B7513" w14:textId="77777777" w:rsidR="00EE6C42" w:rsidRPr="0014632C" w:rsidRDefault="00EE6C42" w:rsidP="00353A4C">
            <w:pPr>
              <w:jc w:val="right"/>
              <w:rPr>
                <w:rFonts w:ascii="Palatino Linotype" w:hAnsi="Palatino Linotype"/>
                <w:b/>
                <w:bCs/>
                <w:color w:val="000000"/>
                <w:sz w:val="22"/>
                <w:szCs w:val="22"/>
              </w:rPr>
            </w:pPr>
            <w:r>
              <w:rPr>
                <w:rFonts w:ascii="Palatino Linotype" w:hAnsi="Palatino Linotype" w:cs="Arial"/>
                <w:b/>
                <w:bCs/>
                <w:sz w:val="22"/>
                <w:szCs w:val="22"/>
              </w:rPr>
              <w:t>39.9</w:t>
            </w:r>
          </w:p>
        </w:tc>
        <w:tc>
          <w:tcPr>
            <w:tcW w:w="720" w:type="dxa"/>
            <w:tcBorders>
              <w:top w:val="nil"/>
              <w:bottom w:val="single" w:sz="4" w:space="0" w:color="auto"/>
            </w:tcBorders>
            <w:shd w:val="clear" w:color="auto" w:fill="auto"/>
            <w:noWrap/>
            <w:vAlign w:val="bottom"/>
          </w:tcPr>
          <w:p w14:paraId="3CD75CBA" w14:textId="77777777" w:rsidR="00EE6C42" w:rsidRPr="0014632C" w:rsidRDefault="00EE6C42" w:rsidP="00353A4C">
            <w:pPr>
              <w:jc w:val="right"/>
              <w:rPr>
                <w:rFonts w:ascii="Palatino Linotype" w:hAnsi="Palatino Linotype"/>
                <w:b/>
                <w:bCs/>
                <w:color w:val="000000"/>
                <w:sz w:val="22"/>
                <w:szCs w:val="22"/>
              </w:rPr>
            </w:pPr>
            <w:r>
              <w:rPr>
                <w:rFonts w:ascii="Palatino Linotype" w:hAnsi="Palatino Linotype" w:cs="Arial"/>
                <w:b/>
                <w:bCs/>
                <w:sz w:val="22"/>
                <w:szCs w:val="22"/>
              </w:rPr>
              <w:t>39.8</w:t>
            </w:r>
          </w:p>
        </w:tc>
        <w:tc>
          <w:tcPr>
            <w:tcW w:w="720" w:type="dxa"/>
            <w:tcBorders>
              <w:top w:val="nil"/>
              <w:bottom w:val="single" w:sz="4" w:space="0" w:color="auto"/>
            </w:tcBorders>
            <w:shd w:val="clear" w:color="auto" w:fill="auto"/>
            <w:noWrap/>
            <w:vAlign w:val="bottom"/>
          </w:tcPr>
          <w:p w14:paraId="2D0D2B1B" w14:textId="77777777" w:rsidR="00EE6C42" w:rsidRPr="0014632C" w:rsidRDefault="00EE6C42" w:rsidP="00353A4C">
            <w:pPr>
              <w:jc w:val="right"/>
              <w:rPr>
                <w:rFonts w:ascii="Palatino Linotype" w:hAnsi="Palatino Linotype"/>
                <w:b/>
                <w:bCs/>
                <w:color w:val="000000"/>
                <w:sz w:val="22"/>
                <w:szCs w:val="22"/>
              </w:rPr>
            </w:pPr>
            <w:r>
              <w:rPr>
                <w:rFonts w:ascii="Palatino Linotype" w:hAnsi="Palatino Linotype" w:cs="Arial"/>
                <w:b/>
                <w:bCs/>
                <w:sz w:val="22"/>
                <w:szCs w:val="22"/>
              </w:rPr>
              <w:t>39.8</w:t>
            </w:r>
          </w:p>
        </w:tc>
        <w:tc>
          <w:tcPr>
            <w:tcW w:w="720" w:type="dxa"/>
            <w:tcBorders>
              <w:top w:val="nil"/>
              <w:bottom w:val="single" w:sz="4" w:space="0" w:color="auto"/>
            </w:tcBorders>
            <w:shd w:val="clear" w:color="auto" w:fill="auto"/>
            <w:noWrap/>
            <w:vAlign w:val="bottom"/>
          </w:tcPr>
          <w:p w14:paraId="6D3B74FC" w14:textId="77777777" w:rsidR="00EE6C42" w:rsidRPr="0014632C" w:rsidRDefault="00EE6C42" w:rsidP="00353A4C">
            <w:pPr>
              <w:jc w:val="right"/>
              <w:rPr>
                <w:rFonts w:ascii="Palatino Linotype" w:hAnsi="Palatino Linotype"/>
                <w:b/>
                <w:bCs/>
                <w:color w:val="000000"/>
                <w:sz w:val="22"/>
                <w:szCs w:val="22"/>
              </w:rPr>
            </w:pPr>
            <w:r>
              <w:rPr>
                <w:rFonts w:ascii="Palatino Linotype" w:hAnsi="Palatino Linotype" w:cs="Arial"/>
                <w:b/>
                <w:bCs/>
                <w:sz w:val="22"/>
                <w:szCs w:val="22"/>
              </w:rPr>
              <w:t>39.7</w:t>
            </w:r>
          </w:p>
        </w:tc>
        <w:tc>
          <w:tcPr>
            <w:tcW w:w="696" w:type="dxa"/>
            <w:tcBorders>
              <w:top w:val="nil"/>
              <w:bottom w:val="single" w:sz="4" w:space="0" w:color="auto"/>
            </w:tcBorders>
            <w:shd w:val="clear" w:color="auto" w:fill="auto"/>
            <w:noWrap/>
            <w:vAlign w:val="bottom"/>
          </w:tcPr>
          <w:p w14:paraId="1D03E102" w14:textId="77777777" w:rsidR="00EE6C42" w:rsidRPr="0014632C" w:rsidRDefault="00EE6C42" w:rsidP="00353A4C">
            <w:pPr>
              <w:jc w:val="right"/>
              <w:rPr>
                <w:rFonts w:ascii="Palatino Linotype" w:hAnsi="Palatino Linotype"/>
                <w:b/>
                <w:bCs/>
                <w:color w:val="000000"/>
                <w:sz w:val="22"/>
                <w:szCs w:val="22"/>
              </w:rPr>
            </w:pPr>
            <w:r>
              <w:rPr>
                <w:rFonts w:ascii="Palatino Linotype" w:hAnsi="Palatino Linotype" w:cs="Arial"/>
                <w:b/>
                <w:bCs/>
                <w:sz w:val="22"/>
                <w:szCs w:val="22"/>
              </w:rPr>
              <w:t>39.7</w:t>
            </w:r>
          </w:p>
        </w:tc>
      </w:tr>
      <w:tr w:rsidR="00EE6C42" w:rsidRPr="001A1A13" w14:paraId="3D00F9FE" w14:textId="77777777" w:rsidTr="00353A4C">
        <w:trPr>
          <w:gridAfter w:val="5"/>
          <w:wAfter w:w="3756" w:type="dxa"/>
          <w:trHeight w:val="300"/>
        </w:trPr>
        <w:tc>
          <w:tcPr>
            <w:tcW w:w="5130" w:type="dxa"/>
            <w:tcBorders>
              <w:top w:val="single" w:sz="4" w:space="0" w:color="auto"/>
              <w:bottom w:val="single" w:sz="4" w:space="0" w:color="auto"/>
            </w:tcBorders>
            <w:shd w:val="clear" w:color="auto" w:fill="auto"/>
            <w:noWrap/>
            <w:vAlign w:val="bottom"/>
            <w:hideMark/>
          </w:tcPr>
          <w:p w14:paraId="637FE855" w14:textId="77777777" w:rsidR="00EE6C42" w:rsidRPr="001A1A13" w:rsidRDefault="00EE6C42" w:rsidP="00353A4C">
            <w:pPr>
              <w:rPr>
                <w:rFonts w:ascii="Palatino Linotype" w:hAnsi="Palatino Linotype" w:cs="Arial"/>
                <w:sz w:val="22"/>
                <w:szCs w:val="22"/>
              </w:rPr>
            </w:pPr>
            <w:r w:rsidRPr="001A1A13">
              <w:rPr>
                <w:rFonts w:ascii="Palatino Linotype" w:hAnsi="Palatino Linotype" w:cs="Arial"/>
                <w:b/>
                <w:bCs/>
                <w:color w:val="000000"/>
                <w:sz w:val="22"/>
                <w:szCs w:val="22"/>
              </w:rPr>
              <w:t>CO2E from Fossil Fuel Combustion (20%)</w:t>
            </w:r>
          </w:p>
        </w:tc>
      </w:tr>
      <w:tr w:rsidR="00EE6C42" w:rsidRPr="001A1A13" w14:paraId="2E071A83" w14:textId="77777777" w:rsidTr="00353A4C">
        <w:trPr>
          <w:trHeight w:val="300"/>
        </w:trPr>
        <w:tc>
          <w:tcPr>
            <w:tcW w:w="5130" w:type="dxa"/>
            <w:tcBorders>
              <w:top w:val="single" w:sz="4" w:space="0" w:color="auto"/>
            </w:tcBorders>
            <w:shd w:val="clear" w:color="auto" w:fill="auto"/>
            <w:noWrap/>
            <w:vAlign w:val="bottom"/>
            <w:hideMark/>
          </w:tcPr>
          <w:p w14:paraId="69835B70" w14:textId="77777777" w:rsidR="00EE6C42" w:rsidRPr="001A1A13" w:rsidRDefault="00EE6C42" w:rsidP="00353A4C">
            <w:pPr>
              <w:ind w:firstLineChars="238" w:firstLine="524"/>
              <w:rPr>
                <w:rFonts w:ascii="Palatino Linotype" w:hAnsi="Palatino Linotype" w:cs="Arial"/>
                <w:sz w:val="22"/>
                <w:szCs w:val="22"/>
              </w:rPr>
            </w:pPr>
            <w:r w:rsidRPr="001A1A13">
              <w:rPr>
                <w:rFonts w:ascii="Palatino Linotype" w:hAnsi="Palatino Linotype" w:cs="Arial"/>
                <w:sz w:val="22"/>
                <w:szCs w:val="22"/>
              </w:rPr>
              <w:t>Finished Gasoline</w:t>
            </w:r>
          </w:p>
        </w:tc>
        <w:tc>
          <w:tcPr>
            <w:tcW w:w="900" w:type="dxa"/>
            <w:tcBorders>
              <w:top w:val="single" w:sz="4" w:space="0" w:color="auto"/>
            </w:tcBorders>
            <w:shd w:val="clear" w:color="auto" w:fill="auto"/>
            <w:noWrap/>
            <w:vAlign w:val="bottom"/>
            <w:hideMark/>
          </w:tcPr>
          <w:p w14:paraId="6F57D38B" w14:textId="77777777" w:rsidR="00EE6C42" w:rsidRPr="001A1A13" w:rsidRDefault="00EE6C42" w:rsidP="00353A4C">
            <w:pPr>
              <w:jc w:val="right"/>
              <w:rPr>
                <w:rFonts w:ascii="Palatino Linotype" w:hAnsi="Palatino Linotype" w:cs="Arial"/>
                <w:sz w:val="22"/>
                <w:szCs w:val="22"/>
              </w:rPr>
            </w:pPr>
            <w:r>
              <w:rPr>
                <w:rFonts w:ascii="Palatino Linotype" w:hAnsi="Palatino Linotype" w:cs="Arial"/>
                <w:sz w:val="22"/>
                <w:szCs w:val="22"/>
              </w:rPr>
              <w:t>28.5</w:t>
            </w:r>
          </w:p>
        </w:tc>
        <w:tc>
          <w:tcPr>
            <w:tcW w:w="720" w:type="dxa"/>
            <w:tcBorders>
              <w:top w:val="single" w:sz="4" w:space="0" w:color="auto"/>
            </w:tcBorders>
            <w:shd w:val="clear" w:color="auto" w:fill="auto"/>
            <w:noWrap/>
            <w:vAlign w:val="bottom"/>
            <w:hideMark/>
          </w:tcPr>
          <w:p w14:paraId="175B5F01" w14:textId="77777777" w:rsidR="00EE6C42" w:rsidRPr="001A1A13" w:rsidRDefault="00EE6C42" w:rsidP="00353A4C">
            <w:pPr>
              <w:jc w:val="right"/>
              <w:rPr>
                <w:rFonts w:ascii="Palatino Linotype" w:hAnsi="Palatino Linotype" w:cs="Arial"/>
                <w:sz w:val="22"/>
                <w:szCs w:val="22"/>
              </w:rPr>
            </w:pPr>
            <w:r>
              <w:rPr>
                <w:rFonts w:ascii="Palatino Linotype" w:hAnsi="Palatino Linotype" w:cs="Arial"/>
                <w:sz w:val="22"/>
                <w:szCs w:val="22"/>
              </w:rPr>
              <w:t>28.1</w:t>
            </w:r>
          </w:p>
        </w:tc>
        <w:tc>
          <w:tcPr>
            <w:tcW w:w="720" w:type="dxa"/>
            <w:tcBorders>
              <w:top w:val="single" w:sz="4" w:space="0" w:color="auto"/>
            </w:tcBorders>
            <w:shd w:val="clear" w:color="auto" w:fill="auto"/>
            <w:noWrap/>
            <w:vAlign w:val="bottom"/>
            <w:hideMark/>
          </w:tcPr>
          <w:p w14:paraId="2758653C" w14:textId="77777777" w:rsidR="00EE6C42" w:rsidRPr="001A1A13" w:rsidRDefault="00EE6C42" w:rsidP="00353A4C">
            <w:pPr>
              <w:jc w:val="right"/>
              <w:rPr>
                <w:rFonts w:ascii="Palatino Linotype" w:hAnsi="Palatino Linotype" w:cs="Arial"/>
                <w:sz w:val="22"/>
                <w:szCs w:val="22"/>
              </w:rPr>
            </w:pPr>
            <w:r>
              <w:rPr>
                <w:rFonts w:ascii="Palatino Linotype" w:hAnsi="Palatino Linotype" w:cs="Arial"/>
                <w:sz w:val="22"/>
                <w:szCs w:val="22"/>
              </w:rPr>
              <w:t>27.7</w:t>
            </w:r>
          </w:p>
        </w:tc>
        <w:tc>
          <w:tcPr>
            <w:tcW w:w="720" w:type="dxa"/>
            <w:tcBorders>
              <w:top w:val="single" w:sz="4" w:space="0" w:color="auto"/>
            </w:tcBorders>
            <w:shd w:val="clear" w:color="auto" w:fill="auto"/>
            <w:noWrap/>
            <w:vAlign w:val="bottom"/>
            <w:hideMark/>
          </w:tcPr>
          <w:p w14:paraId="0530674C" w14:textId="77777777" w:rsidR="00EE6C42" w:rsidRPr="001A1A13" w:rsidRDefault="00EE6C42" w:rsidP="00353A4C">
            <w:pPr>
              <w:jc w:val="right"/>
              <w:rPr>
                <w:rFonts w:ascii="Palatino Linotype" w:hAnsi="Palatino Linotype" w:cs="Arial"/>
                <w:sz w:val="22"/>
                <w:szCs w:val="22"/>
              </w:rPr>
            </w:pPr>
            <w:r>
              <w:rPr>
                <w:rFonts w:ascii="Palatino Linotype" w:hAnsi="Palatino Linotype"/>
                <w:color w:val="000000"/>
                <w:sz w:val="22"/>
                <w:szCs w:val="22"/>
              </w:rPr>
              <w:t>27.4</w:t>
            </w:r>
          </w:p>
        </w:tc>
        <w:tc>
          <w:tcPr>
            <w:tcW w:w="696" w:type="dxa"/>
            <w:tcBorders>
              <w:top w:val="single" w:sz="4" w:space="0" w:color="auto"/>
            </w:tcBorders>
            <w:shd w:val="clear" w:color="auto" w:fill="auto"/>
            <w:noWrap/>
            <w:vAlign w:val="bottom"/>
            <w:hideMark/>
          </w:tcPr>
          <w:p w14:paraId="2CF78070" w14:textId="77777777" w:rsidR="00EE6C42" w:rsidRPr="001A1A13" w:rsidRDefault="00EE6C42" w:rsidP="00353A4C">
            <w:pPr>
              <w:jc w:val="right"/>
              <w:rPr>
                <w:rFonts w:ascii="Palatino Linotype" w:hAnsi="Palatino Linotype" w:cs="Arial"/>
                <w:sz w:val="22"/>
                <w:szCs w:val="22"/>
              </w:rPr>
            </w:pPr>
            <w:r>
              <w:rPr>
                <w:rFonts w:ascii="Palatino Linotype" w:hAnsi="Palatino Linotype" w:cs="Arial"/>
                <w:sz w:val="22"/>
                <w:szCs w:val="22"/>
              </w:rPr>
              <w:t>27.0</w:t>
            </w:r>
          </w:p>
        </w:tc>
      </w:tr>
      <w:tr w:rsidR="00EE6C42" w:rsidRPr="001A1A13" w14:paraId="572064B5" w14:textId="77777777" w:rsidTr="00353A4C">
        <w:trPr>
          <w:trHeight w:val="300"/>
        </w:trPr>
        <w:tc>
          <w:tcPr>
            <w:tcW w:w="5130" w:type="dxa"/>
            <w:tcBorders>
              <w:bottom w:val="nil"/>
            </w:tcBorders>
            <w:shd w:val="clear" w:color="auto" w:fill="auto"/>
            <w:noWrap/>
            <w:vAlign w:val="bottom"/>
            <w:hideMark/>
          </w:tcPr>
          <w:p w14:paraId="6190D48D" w14:textId="77777777" w:rsidR="00EE6C42" w:rsidRPr="001A1A13" w:rsidRDefault="00EE6C42" w:rsidP="00353A4C">
            <w:pPr>
              <w:ind w:firstLineChars="238" w:firstLine="524"/>
              <w:rPr>
                <w:rFonts w:ascii="Palatino Linotype" w:hAnsi="Palatino Linotype" w:cs="Arial"/>
                <w:sz w:val="22"/>
                <w:szCs w:val="22"/>
              </w:rPr>
            </w:pPr>
            <w:r w:rsidRPr="001A1A13">
              <w:rPr>
                <w:rFonts w:ascii="Palatino Linotype" w:hAnsi="Palatino Linotype" w:cs="Arial"/>
                <w:sz w:val="22"/>
                <w:szCs w:val="22"/>
              </w:rPr>
              <w:t>On-Road Diesel</w:t>
            </w:r>
          </w:p>
        </w:tc>
        <w:tc>
          <w:tcPr>
            <w:tcW w:w="900" w:type="dxa"/>
            <w:tcBorders>
              <w:bottom w:val="nil"/>
            </w:tcBorders>
            <w:shd w:val="clear" w:color="auto" w:fill="auto"/>
            <w:noWrap/>
            <w:vAlign w:val="bottom"/>
            <w:hideMark/>
          </w:tcPr>
          <w:p w14:paraId="0C371193" w14:textId="77777777" w:rsidR="00EE6C42" w:rsidRPr="001A1A13" w:rsidRDefault="00EE6C42" w:rsidP="00353A4C">
            <w:pPr>
              <w:jc w:val="right"/>
              <w:rPr>
                <w:rFonts w:ascii="Palatino Linotype" w:hAnsi="Palatino Linotype" w:cs="Arial"/>
                <w:color w:val="000000"/>
                <w:sz w:val="22"/>
                <w:szCs w:val="22"/>
              </w:rPr>
            </w:pPr>
            <w:r>
              <w:rPr>
                <w:rFonts w:ascii="Palatino Linotype" w:hAnsi="Palatino Linotype" w:cs="Arial"/>
                <w:color w:val="000000"/>
                <w:sz w:val="22"/>
                <w:szCs w:val="22"/>
              </w:rPr>
              <w:t>10.8</w:t>
            </w:r>
          </w:p>
        </w:tc>
        <w:tc>
          <w:tcPr>
            <w:tcW w:w="720" w:type="dxa"/>
            <w:tcBorders>
              <w:bottom w:val="nil"/>
            </w:tcBorders>
            <w:shd w:val="clear" w:color="auto" w:fill="auto"/>
            <w:noWrap/>
            <w:vAlign w:val="bottom"/>
            <w:hideMark/>
          </w:tcPr>
          <w:p w14:paraId="37A9DA8B" w14:textId="77777777" w:rsidR="00EE6C42" w:rsidRPr="001A1A13" w:rsidRDefault="00EE6C42" w:rsidP="00353A4C">
            <w:pPr>
              <w:jc w:val="right"/>
              <w:rPr>
                <w:rFonts w:ascii="Palatino Linotype" w:hAnsi="Palatino Linotype" w:cs="Arial"/>
                <w:color w:val="000000"/>
                <w:sz w:val="22"/>
                <w:szCs w:val="22"/>
              </w:rPr>
            </w:pPr>
            <w:r>
              <w:rPr>
                <w:rFonts w:ascii="Palatino Linotype" w:hAnsi="Palatino Linotype" w:cs="Arial"/>
                <w:color w:val="000000"/>
                <w:sz w:val="22"/>
                <w:szCs w:val="22"/>
              </w:rPr>
              <w:t>10.7</w:t>
            </w:r>
          </w:p>
        </w:tc>
        <w:tc>
          <w:tcPr>
            <w:tcW w:w="720" w:type="dxa"/>
            <w:tcBorders>
              <w:bottom w:val="nil"/>
            </w:tcBorders>
            <w:shd w:val="clear" w:color="auto" w:fill="auto"/>
            <w:noWrap/>
            <w:vAlign w:val="bottom"/>
            <w:hideMark/>
          </w:tcPr>
          <w:p w14:paraId="0A31CB6F" w14:textId="77777777" w:rsidR="00EE6C42" w:rsidRPr="001A1A13" w:rsidRDefault="00EE6C42" w:rsidP="00353A4C">
            <w:pPr>
              <w:jc w:val="right"/>
              <w:rPr>
                <w:rFonts w:ascii="Palatino Linotype" w:hAnsi="Palatino Linotype" w:cs="Arial"/>
                <w:color w:val="000000"/>
                <w:sz w:val="22"/>
                <w:szCs w:val="22"/>
              </w:rPr>
            </w:pPr>
            <w:r>
              <w:rPr>
                <w:rFonts w:ascii="Palatino Linotype" w:hAnsi="Palatino Linotype"/>
                <w:color w:val="000000"/>
                <w:sz w:val="22"/>
                <w:szCs w:val="22"/>
              </w:rPr>
              <w:t>10.5</w:t>
            </w:r>
          </w:p>
        </w:tc>
        <w:tc>
          <w:tcPr>
            <w:tcW w:w="720" w:type="dxa"/>
            <w:tcBorders>
              <w:bottom w:val="nil"/>
            </w:tcBorders>
            <w:shd w:val="clear" w:color="auto" w:fill="auto"/>
            <w:noWrap/>
            <w:vAlign w:val="bottom"/>
            <w:hideMark/>
          </w:tcPr>
          <w:p w14:paraId="335618FF" w14:textId="77777777" w:rsidR="00EE6C42" w:rsidRPr="001A1A13" w:rsidRDefault="00EE6C42" w:rsidP="00353A4C">
            <w:pPr>
              <w:jc w:val="right"/>
              <w:rPr>
                <w:rFonts w:ascii="Palatino Linotype" w:hAnsi="Palatino Linotype" w:cs="Arial"/>
                <w:color w:val="000000"/>
                <w:sz w:val="22"/>
                <w:szCs w:val="22"/>
              </w:rPr>
            </w:pPr>
            <w:r>
              <w:rPr>
                <w:rFonts w:ascii="Palatino Linotype" w:hAnsi="Palatino Linotype"/>
                <w:color w:val="000000"/>
                <w:sz w:val="22"/>
                <w:szCs w:val="22"/>
              </w:rPr>
              <w:t>10.3</w:t>
            </w:r>
          </w:p>
        </w:tc>
        <w:tc>
          <w:tcPr>
            <w:tcW w:w="696" w:type="dxa"/>
            <w:tcBorders>
              <w:bottom w:val="nil"/>
            </w:tcBorders>
            <w:shd w:val="clear" w:color="auto" w:fill="auto"/>
            <w:noWrap/>
            <w:vAlign w:val="bottom"/>
            <w:hideMark/>
          </w:tcPr>
          <w:p w14:paraId="0909C6E8" w14:textId="77777777" w:rsidR="00EE6C42" w:rsidRPr="001A1A13" w:rsidRDefault="00EE6C42" w:rsidP="00353A4C">
            <w:pPr>
              <w:jc w:val="right"/>
              <w:rPr>
                <w:rFonts w:ascii="Palatino Linotype" w:hAnsi="Palatino Linotype" w:cs="Arial"/>
                <w:sz w:val="22"/>
                <w:szCs w:val="22"/>
              </w:rPr>
            </w:pPr>
            <w:r>
              <w:rPr>
                <w:rFonts w:ascii="Palatino Linotype" w:hAnsi="Palatino Linotype" w:cs="Arial"/>
                <w:sz w:val="22"/>
                <w:szCs w:val="22"/>
              </w:rPr>
              <w:t>10.2</w:t>
            </w:r>
          </w:p>
        </w:tc>
      </w:tr>
      <w:tr w:rsidR="00EE6C42" w:rsidRPr="001A1A13" w14:paraId="5723EF65" w14:textId="77777777" w:rsidTr="00353A4C">
        <w:trPr>
          <w:trHeight w:val="315"/>
        </w:trPr>
        <w:tc>
          <w:tcPr>
            <w:tcW w:w="5130" w:type="dxa"/>
            <w:tcBorders>
              <w:top w:val="nil"/>
              <w:bottom w:val="single" w:sz="8" w:space="0" w:color="auto"/>
            </w:tcBorders>
            <w:shd w:val="clear" w:color="auto" w:fill="auto"/>
            <w:noWrap/>
            <w:vAlign w:val="bottom"/>
            <w:hideMark/>
          </w:tcPr>
          <w:p w14:paraId="10C456F6" w14:textId="77777777" w:rsidR="00EE6C42" w:rsidRPr="001A1A13" w:rsidRDefault="00EE6C42" w:rsidP="00353A4C">
            <w:pPr>
              <w:ind w:firstLineChars="115" w:firstLine="254"/>
              <w:rPr>
                <w:rFonts w:ascii="Palatino Linotype" w:hAnsi="Palatino Linotype" w:cs="Arial"/>
                <w:b/>
                <w:bCs/>
                <w:color w:val="000000"/>
                <w:sz w:val="22"/>
                <w:szCs w:val="22"/>
              </w:rPr>
            </w:pPr>
            <w:r w:rsidRPr="001A1A13">
              <w:rPr>
                <w:rFonts w:ascii="Palatino Linotype" w:hAnsi="Palatino Linotype" w:cs="Arial"/>
                <w:b/>
                <w:bCs/>
                <w:sz w:val="22"/>
                <w:szCs w:val="22"/>
              </w:rPr>
              <w:t>Total Emissions</w:t>
            </w:r>
          </w:p>
        </w:tc>
        <w:tc>
          <w:tcPr>
            <w:tcW w:w="900" w:type="dxa"/>
            <w:tcBorders>
              <w:top w:val="nil"/>
              <w:bottom w:val="single" w:sz="8" w:space="0" w:color="auto"/>
            </w:tcBorders>
            <w:shd w:val="clear" w:color="auto" w:fill="auto"/>
            <w:noWrap/>
            <w:vAlign w:val="bottom"/>
            <w:hideMark/>
          </w:tcPr>
          <w:p w14:paraId="5748E1B9" w14:textId="77777777" w:rsidR="00EE6C42" w:rsidRPr="0014632C" w:rsidRDefault="00EE6C42" w:rsidP="00353A4C">
            <w:pPr>
              <w:jc w:val="right"/>
              <w:rPr>
                <w:rFonts w:ascii="Palatino Linotype" w:hAnsi="Palatino Linotype" w:cs="Arial"/>
                <w:b/>
                <w:bCs/>
                <w:color w:val="000000"/>
                <w:sz w:val="22"/>
                <w:szCs w:val="22"/>
              </w:rPr>
            </w:pPr>
            <w:r>
              <w:rPr>
                <w:rFonts w:ascii="Palatino Linotype" w:hAnsi="Palatino Linotype" w:cs="Arial"/>
                <w:b/>
                <w:bCs/>
                <w:color w:val="000000"/>
                <w:sz w:val="22"/>
                <w:szCs w:val="22"/>
              </w:rPr>
              <w:t>39.3</w:t>
            </w:r>
          </w:p>
        </w:tc>
        <w:tc>
          <w:tcPr>
            <w:tcW w:w="720" w:type="dxa"/>
            <w:tcBorders>
              <w:top w:val="nil"/>
              <w:bottom w:val="single" w:sz="8" w:space="0" w:color="auto"/>
            </w:tcBorders>
            <w:shd w:val="clear" w:color="auto" w:fill="auto"/>
            <w:noWrap/>
            <w:vAlign w:val="bottom"/>
            <w:hideMark/>
          </w:tcPr>
          <w:p w14:paraId="2208658D" w14:textId="77777777" w:rsidR="00EE6C42" w:rsidRPr="0014632C" w:rsidRDefault="00EE6C42" w:rsidP="00353A4C">
            <w:pPr>
              <w:jc w:val="right"/>
              <w:rPr>
                <w:rFonts w:ascii="Palatino Linotype" w:hAnsi="Palatino Linotype" w:cs="Arial"/>
                <w:b/>
                <w:bCs/>
                <w:color w:val="000000"/>
                <w:sz w:val="22"/>
                <w:szCs w:val="22"/>
              </w:rPr>
            </w:pPr>
            <w:r>
              <w:rPr>
                <w:rFonts w:ascii="Palatino Linotype" w:hAnsi="Palatino Linotype" w:cs="Arial"/>
                <w:b/>
                <w:bCs/>
                <w:color w:val="000000"/>
                <w:sz w:val="22"/>
                <w:szCs w:val="22"/>
              </w:rPr>
              <w:t>38.8</w:t>
            </w:r>
          </w:p>
        </w:tc>
        <w:tc>
          <w:tcPr>
            <w:tcW w:w="720" w:type="dxa"/>
            <w:tcBorders>
              <w:top w:val="nil"/>
              <w:bottom w:val="single" w:sz="8" w:space="0" w:color="auto"/>
            </w:tcBorders>
            <w:shd w:val="clear" w:color="auto" w:fill="auto"/>
            <w:noWrap/>
            <w:vAlign w:val="bottom"/>
            <w:hideMark/>
          </w:tcPr>
          <w:p w14:paraId="372CA8EA" w14:textId="77777777" w:rsidR="00EE6C42" w:rsidRPr="0014632C" w:rsidRDefault="00EE6C42" w:rsidP="00353A4C">
            <w:pPr>
              <w:jc w:val="right"/>
              <w:rPr>
                <w:rFonts w:ascii="Palatino Linotype" w:hAnsi="Palatino Linotype" w:cs="Arial"/>
                <w:b/>
                <w:bCs/>
                <w:color w:val="000000"/>
                <w:sz w:val="22"/>
                <w:szCs w:val="22"/>
              </w:rPr>
            </w:pPr>
            <w:r>
              <w:rPr>
                <w:rFonts w:ascii="Palatino Linotype" w:hAnsi="Palatino Linotype" w:cs="Arial"/>
                <w:b/>
                <w:bCs/>
                <w:color w:val="000000"/>
                <w:sz w:val="22"/>
                <w:szCs w:val="22"/>
              </w:rPr>
              <w:t>38.2</w:t>
            </w:r>
          </w:p>
        </w:tc>
        <w:tc>
          <w:tcPr>
            <w:tcW w:w="720" w:type="dxa"/>
            <w:tcBorders>
              <w:top w:val="nil"/>
              <w:bottom w:val="single" w:sz="8" w:space="0" w:color="auto"/>
            </w:tcBorders>
            <w:shd w:val="clear" w:color="auto" w:fill="auto"/>
            <w:noWrap/>
            <w:vAlign w:val="bottom"/>
            <w:hideMark/>
          </w:tcPr>
          <w:p w14:paraId="4758F8EA" w14:textId="77777777" w:rsidR="00EE6C42" w:rsidRPr="0014632C" w:rsidRDefault="00EE6C42" w:rsidP="00353A4C">
            <w:pPr>
              <w:jc w:val="right"/>
              <w:rPr>
                <w:rFonts w:ascii="Palatino Linotype" w:hAnsi="Palatino Linotype" w:cs="Arial"/>
                <w:b/>
                <w:bCs/>
                <w:color w:val="000000"/>
                <w:sz w:val="22"/>
                <w:szCs w:val="22"/>
              </w:rPr>
            </w:pPr>
            <w:r>
              <w:rPr>
                <w:rFonts w:ascii="Palatino Linotype" w:hAnsi="Palatino Linotype" w:cs="Arial"/>
                <w:b/>
                <w:bCs/>
                <w:color w:val="000000"/>
                <w:sz w:val="22"/>
                <w:szCs w:val="22"/>
              </w:rPr>
              <w:t>37.7</w:t>
            </w:r>
          </w:p>
        </w:tc>
        <w:tc>
          <w:tcPr>
            <w:tcW w:w="696" w:type="dxa"/>
            <w:tcBorders>
              <w:top w:val="nil"/>
              <w:bottom w:val="single" w:sz="8" w:space="0" w:color="auto"/>
            </w:tcBorders>
            <w:shd w:val="clear" w:color="auto" w:fill="auto"/>
            <w:noWrap/>
            <w:vAlign w:val="bottom"/>
            <w:hideMark/>
          </w:tcPr>
          <w:p w14:paraId="3B521607" w14:textId="77777777" w:rsidR="00EE6C42" w:rsidRPr="0014632C" w:rsidRDefault="00EE6C42" w:rsidP="00353A4C">
            <w:pPr>
              <w:jc w:val="right"/>
              <w:rPr>
                <w:rFonts w:ascii="Palatino Linotype" w:hAnsi="Palatino Linotype" w:cs="Arial"/>
                <w:b/>
                <w:bCs/>
                <w:sz w:val="22"/>
                <w:szCs w:val="22"/>
              </w:rPr>
            </w:pPr>
            <w:r>
              <w:rPr>
                <w:rFonts w:ascii="Palatino Linotype" w:hAnsi="Palatino Linotype" w:cs="Arial"/>
                <w:b/>
                <w:bCs/>
                <w:sz w:val="22"/>
                <w:szCs w:val="22"/>
              </w:rPr>
              <w:t>37.2</w:t>
            </w:r>
          </w:p>
        </w:tc>
      </w:tr>
      <w:tr w:rsidR="00EE6C42" w:rsidRPr="001A1A13" w14:paraId="105F5304" w14:textId="77777777" w:rsidTr="00353A4C">
        <w:trPr>
          <w:trHeight w:val="315"/>
        </w:trPr>
        <w:tc>
          <w:tcPr>
            <w:tcW w:w="5130" w:type="dxa"/>
            <w:tcBorders>
              <w:top w:val="single" w:sz="8" w:space="0" w:color="auto"/>
              <w:bottom w:val="single" w:sz="4" w:space="0" w:color="auto"/>
            </w:tcBorders>
            <w:shd w:val="clear" w:color="auto" w:fill="auto"/>
            <w:noWrap/>
            <w:vAlign w:val="bottom"/>
            <w:hideMark/>
          </w:tcPr>
          <w:p w14:paraId="18A3E244" w14:textId="0B392AC8" w:rsidR="00EE6C42" w:rsidRPr="001A1A13" w:rsidRDefault="00EE6C42" w:rsidP="00353A4C">
            <w:pPr>
              <w:rPr>
                <w:rFonts w:ascii="Palatino Linotype" w:hAnsi="Palatino Linotype" w:cs="Arial"/>
                <w:b/>
                <w:bCs/>
                <w:color w:val="000000"/>
                <w:sz w:val="22"/>
                <w:szCs w:val="22"/>
              </w:rPr>
            </w:pPr>
            <w:r w:rsidRPr="001A1A13">
              <w:rPr>
                <w:rFonts w:ascii="Palatino Linotype" w:hAnsi="Palatino Linotype" w:cs="Arial"/>
                <w:b/>
                <w:bCs/>
                <w:color w:val="000000"/>
                <w:sz w:val="22"/>
                <w:szCs w:val="22"/>
              </w:rPr>
              <w:t>CO2E from Fossil Fuel Combustion (22</w:t>
            </w:r>
            <w:r w:rsidR="008A118A">
              <w:rPr>
                <w:rFonts w:ascii="Palatino Linotype" w:hAnsi="Palatino Linotype" w:cs="Arial"/>
                <w:b/>
                <w:bCs/>
                <w:color w:val="000000"/>
                <w:sz w:val="22"/>
                <w:szCs w:val="22"/>
              </w:rPr>
              <w:t>.5</w:t>
            </w:r>
            <w:r w:rsidRPr="001A1A13">
              <w:rPr>
                <w:rFonts w:ascii="Palatino Linotype" w:hAnsi="Palatino Linotype" w:cs="Arial"/>
                <w:b/>
                <w:bCs/>
                <w:color w:val="000000"/>
                <w:sz w:val="22"/>
                <w:szCs w:val="22"/>
              </w:rPr>
              <w:t>%)</w:t>
            </w:r>
          </w:p>
        </w:tc>
        <w:tc>
          <w:tcPr>
            <w:tcW w:w="900" w:type="dxa"/>
            <w:tcBorders>
              <w:top w:val="single" w:sz="8" w:space="0" w:color="auto"/>
              <w:bottom w:val="single" w:sz="4" w:space="0" w:color="auto"/>
            </w:tcBorders>
            <w:shd w:val="clear" w:color="auto" w:fill="auto"/>
            <w:noWrap/>
            <w:vAlign w:val="bottom"/>
            <w:hideMark/>
          </w:tcPr>
          <w:p w14:paraId="622C05BF" w14:textId="77777777" w:rsidR="00EE6C42" w:rsidRPr="001A1A13" w:rsidRDefault="00EE6C42" w:rsidP="00353A4C">
            <w:pPr>
              <w:jc w:val="right"/>
              <w:rPr>
                <w:rFonts w:ascii="Palatino Linotype" w:hAnsi="Palatino Linotype" w:cs="Arial"/>
                <w:color w:val="000000"/>
                <w:sz w:val="22"/>
                <w:szCs w:val="22"/>
              </w:rPr>
            </w:pPr>
          </w:p>
        </w:tc>
        <w:tc>
          <w:tcPr>
            <w:tcW w:w="720" w:type="dxa"/>
            <w:tcBorders>
              <w:top w:val="single" w:sz="8" w:space="0" w:color="auto"/>
              <w:bottom w:val="single" w:sz="4" w:space="0" w:color="auto"/>
            </w:tcBorders>
            <w:shd w:val="clear" w:color="auto" w:fill="auto"/>
            <w:noWrap/>
            <w:vAlign w:val="bottom"/>
            <w:hideMark/>
          </w:tcPr>
          <w:p w14:paraId="4DE54F52" w14:textId="77777777" w:rsidR="00EE6C42" w:rsidRPr="001A1A13" w:rsidRDefault="00EE6C42" w:rsidP="00353A4C">
            <w:pPr>
              <w:jc w:val="right"/>
              <w:rPr>
                <w:rFonts w:ascii="Palatino Linotype" w:hAnsi="Palatino Linotype" w:cs="Arial"/>
                <w:color w:val="000000"/>
                <w:sz w:val="22"/>
                <w:szCs w:val="22"/>
              </w:rPr>
            </w:pPr>
          </w:p>
        </w:tc>
        <w:tc>
          <w:tcPr>
            <w:tcW w:w="720" w:type="dxa"/>
            <w:tcBorders>
              <w:top w:val="single" w:sz="8" w:space="0" w:color="auto"/>
              <w:bottom w:val="single" w:sz="4" w:space="0" w:color="auto"/>
            </w:tcBorders>
            <w:shd w:val="clear" w:color="auto" w:fill="auto"/>
            <w:noWrap/>
            <w:vAlign w:val="bottom"/>
            <w:hideMark/>
          </w:tcPr>
          <w:p w14:paraId="7120DBF2" w14:textId="77777777" w:rsidR="00EE6C42" w:rsidRPr="001A1A13" w:rsidRDefault="00EE6C42" w:rsidP="00353A4C">
            <w:pPr>
              <w:jc w:val="right"/>
              <w:rPr>
                <w:rFonts w:ascii="Palatino Linotype" w:hAnsi="Palatino Linotype" w:cs="Arial"/>
                <w:color w:val="000000"/>
                <w:sz w:val="22"/>
                <w:szCs w:val="22"/>
              </w:rPr>
            </w:pPr>
          </w:p>
        </w:tc>
        <w:tc>
          <w:tcPr>
            <w:tcW w:w="720" w:type="dxa"/>
            <w:tcBorders>
              <w:top w:val="single" w:sz="8" w:space="0" w:color="auto"/>
              <w:bottom w:val="single" w:sz="4" w:space="0" w:color="auto"/>
            </w:tcBorders>
            <w:shd w:val="clear" w:color="auto" w:fill="auto"/>
            <w:noWrap/>
            <w:vAlign w:val="bottom"/>
            <w:hideMark/>
          </w:tcPr>
          <w:p w14:paraId="14A2C6FB" w14:textId="77777777" w:rsidR="00EE6C42" w:rsidRPr="001A1A13" w:rsidRDefault="00EE6C42" w:rsidP="00353A4C">
            <w:pPr>
              <w:jc w:val="right"/>
              <w:rPr>
                <w:rFonts w:ascii="Palatino Linotype" w:hAnsi="Palatino Linotype" w:cs="Arial"/>
                <w:color w:val="000000"/>
                <w:sz w:val="22"/>
                <w:szCs w:val="22"/>
              </w:rPr>
            </w:pPr>
          </w:p>
        </w:tc>
        <w:tc>
          <w:tcPr>
            <w:tcW w:w="696" w:type="dxa"/>
            <w:tcBorders>
              <w:top w:val="single" w:sz="8" w:space="0" w:color="auto"/>
              <w:bottom w:val="single" w:sz="4" w:space="0" w:color="auto"/>
            </w:tcBorders>
            <w:shd w:val="clear" w:color="auto" w:fill="auto"/>
            <w:noWrap/>
            <w:vAlign w:val="bottom"/>
            <w:hideMark/>
          </w:tcPr>
          <w:p w14:paraId="43B84C99" w14:textId="77777777" w:rsidR="00EE6C42" w:rsidRPr="001A1A13" w:rsidRDefault="00EE6C42" w:rsidP="00353A4C">
            <w:pPr>
              <w:jc w:val="right"/>
              <w:rPr>
                <w:rFonts w:ascii="Palatino Linotype" w:hAnsi="Palatino Linotype" w:cs="Arial"/>
                <w:sz w:val="22"/>
                <w:szCs w:val="22"/>
              </w:rPr>
            </w:pPr>
          </w:p>
        </w:tc>
      </w:tr>
      <w:tr w:rsidR="00EE6C42" w:rsidRPr="001A1A13" w14:paraId="6D0B9AF9" w14:textId="77777777" w:rsidTr="00353A4C">
        <w:trPr>
          <w:trHeight w:val="315"/>
        </w:trPr>
        <w:tc>
          <w:tcPr>
            <w:tcW w:w="5130" w:type="dxa"/>
            <w:tcBorders>
              <w:top w:val="single" w:sz="4" w:space="0" w:color="auto"/>
              <w:bottom w:val="nil"/>
            </w:tcBorders>
            <w:shd w:val="clear" w:color="auto" w:fill="auto"/>
            <w:noWrap/>
            <w:vAlign w:val="bottom"/>
            <w:hideMark/>
          </w:tcPr>
          <w:p w14:paraId="3400743B" w14:textId="77777777" w:rsidR="00EE6C42" w:rsidRPr="001A1A13" w:rsidRDefault="00EE6C42" w:rsidP="00353A4C">
            <w:pPr>
              <w:rPr>
                <w:rFonts w:ascii="Palatino Linotype" w:hAnsi="Palatino Linotype" w:cs="Arial"/>
                <w:b/>
                <w:bCs/>
                <w:sz w:val="22"/>
                <w:szCs w:val="22"/>
              </w:rPr>
            </w:pPr>
            <w:r w:rsidRPr="001A1A13">
              <w:rPr>
                <w:rFonts w:ascii="Palatino Linotype" w:hAnsi="Palatino Linotype" w:cs="Arial"/>
                <w:sz w:val="22"/>
                <w:szCs w:val="22"/>
              </w:rPr>
              <w:t xml:space="preserve">          Finished Gasoline</w:t>
            </w:r>
          </w:p>
        </w:tc>
        <w:tc>
          <w:tcPr>
            <w:tcW w:w="900" w:type="dxa"/>
            <w:tcBorders>
              <w:top w:val="single" w:sz="4" w:space="0" w:color="auto"/>
              <w:bottom w:val="nil"/>
            </w:tcBorders>
            <w:shd w:val="clear" w:color="auto" w:fill="auto"/>
            <w:noWrap/>
            <w:vAlign w:val="bottom"/>
            <w:hideMark/>
          </w:tcPr>
          <w:p w14:paraId="1077C29E" w14:textId="77777777" w:rsidR="00EE6C42" w:rsidRPr="001A1A13" w:rsidRDefault="00EE6C42" w:rsidP="00353A4C">
            <w:pPr>
              <w:jc w:val="right"/>
              <w:rPr>
                <w:rFonts w:ascii="Palatino Linotype" w:hAnsi="Palatino Linotype" w:cs="Arial"/>
                <w:color w:val="000000"/>
                <w:sz w:val="22"/>
                <w:szCs w:val="22"/>
              </w:rPr>
            </w:pPr>
            <w:r>
              <w:rPr>
                <w:rFonts w:ascii="Palatino Linotype" w:hAnsi="Palatino Linotype"/>
                <w:color w:val="000000"/>
                <w:sz w:val="22"/>
                <w:szCs w:val="22"/>
              </w:rPr>
              <w:t>28.4</w:t>
            </w:r>
          </w:p>
        </w:tc>
        <w:tc>
          <w:tcPr>
            <w:tcW w:w="720" w:type="dxa"/>
            <w:tcBorders>
              <w:top w:val="single" w:sz="4" w:space="0" w:color="auto"/>
              <w:bottom w:val="nil"/>
            </w:tcBorders>
            <w:shd w:val="clear" w:color="auto" w:fill="auto"/>
            <w:noWrap/>
            <w:vAlign w:val="bottom"/>
            <w:hideMark/>
          </w:tcPr>
          <w:p w14:paraId="5D71F04D" w14:textId="77777777" w:rsidR="00EE6C42" w:rsidRPr="001A1A13" w:rsidRDefault="00EE6C42" w:rsidP="00353A4C">
            <w:pPr>
              <w:jc w:val="right"/>
              <w:rPr>
                <w:rFonts w:ascii="Palatino Linotype" w:hAnsi="Palatino Linotype" w:cs="Arial"/>
                <w:color w:val="000000"/>
                <w:sz w:val="22"/>
                <w:szCs w:val="22"/>
              </w:rPr>
            </w:pPr>
            <w:r>
              <w:rPr>
                <w:rFonts w:ascii="Palatino Linotype" w:hAnsi="Palatino Linotype"/>
                <w:color w:val="000000"/>
                <w:sz w:val="22"/>
                <w:szCs w:val="22"/>
              </w:rPr>
              <w:t>28.0</w:t>
            </w:r>
          </w:p>
        </w:tc>
        <w:tc>
          <w:tcPr>
            <w:tcW w:w="720" w:type="dxa"/>
            <w:tcBorders>
              <w:top w:val="single" w:sz="4" w:space="0" w:color="auto"/>
              <w:bottom w:val="nil"/>
            </w:tcBorders>
            <w:shd w:val="clear" w:color="auto" w:fill="auto"/>
            <w:noWrap/>
            <w:vAlign w:val="bottom"/>
            <w:hideMark/>
          </w:tcPr>
          <w:p w14:paraId="771CB00E" w14:textId="77777777" w:rsidR="00EE6C42" w:rsidRPr="001A1A13" w:rsidRDefault="00EE6C42" w:rsidP="00353A4C">
            <w:pPr>
              <w:jc w:val="right"/>
              <w:rPr>
                <w:rFonts w:ascii="Palatino Linotype" w:hAnsi="Palatino Linotype" w:cs="Arial"/>
                <w:color w:val="000000"/>
                <w:sz w:val="22"/>
                <w:szCs w:val="22"/>
              </w:rPr>
            </w:pPr>
            <w:r>
              <w:rPr>
                <w:rFonts w:ascii="Palatino Linotype" w:hAnsi="Palatino Linotype" w:cs="Arial"/>
                <w:color w:val="000000"/>
                <w:sz w:val="22"/>
                <w:szCs w:val="22"/>
              </w:rPr>
              <w:t>27.6</w:t>
            </w:r>
          </w:p>
        </w:tc>
        <w:tc>
          <w:tcPr>
            <w:tcW w:w="720" w:type="dxa"/>
            <w:tcBorders>
              <w:top w:val="single" w:sz="4" w:space="0" w:color="auto"/>
              <w:bottom w:val="nil"/>
            </w:tcBorders>
            <w:shd w:val="clear" w:color="auto" w:fill="auto"/>
            <w:noWrap/>
            <w:vAlign w:val="bottom"/>
            <w:hideMark/>
          </w:tcPr>
          <w:p w14:paraId="229B137B" w14:textId="77777777" w:rsidR="00EE6C42" w:rsidRPr="001A1A13" w:rsidRDefault="00EE6C42" w:rsidP="00353A4C">
            <w:pPr>
              <w:jc w:val="right"/>
              <w:rPr>
                <w:rFonts w:ascii="Palatino Linotype" w:hAnsi="Palatino Linotype" w:cs="Arial"/>
                <w:color w:val="000000"/>
                <w:sz w:val="22"/>
                <w:szCs w:val="22"/>
              </w:rPr>
            </w:pPr>
            <w:r>
              <w:rPr>
                <w:rFonts w:ascii="Palatino Linotype" w:hAnsi="Palatino Linotype"/>
                <w:color w:val="000000"/>
                <w:sz w:val="22"/>
                <w:szCs w:val="22"/>
              </w:rPr>
              <w:t>27.1</w:t>
            </w:r>
          </w:p>
        </w:tc>
        <w:tc>
          <w:tcPr>
            <w:tcW w:w="696" w:type="dxa"/>
            <w:tcBorders>
              <w:top w:val="single" w:sz="4" w:space="0" w:color="auto"/>
              <w:bottom w:val="nil"/>
            </w:tcBorders>
            <w:shd w:val="clear" w:color="auto" w:fill="auto"/>
            <w:noWrap/>
            <w:vAlign w:val="bottom"/>
            <w:hideMark/>
          </w:tcPr>
          <w:p w14:paraId="32471C0B" w14:textId="77777777" w:rsidR="00EE6C42" w:rsidRPr="001A1A13" w:rsidRDefault="00EE6C42" w:rsidP="00353A4C">
            <w:pPr>
              <w:jc w:val="right"/>
              <w:rPr>
                <w:rFonts w:ascii="Palatino Linotype" w:hAnsi="Palatino Linotype" w:cs="Arial"/>
                <w:sz w:val="22"/>
                <w:szCs w:val="22"/>
              </w:rPr>
            </w:pPr>
            <w:r>
              <w:rPr>
                <w:rFonts w:ascii="Palatino Linotype" w:hAnsi="Palatino Linotype"/>
                <w:color w:val="000000"/>
                <w:sz w:val="22"/>
                <w:szCs w:val="22"/>
              </w:rPr>
              <w:t>26.7</w:t>
            </w:r>
          </w:p>
        </w:tc>
      </w:tr>
      <w:tr w:rsidR="00EE6C42" w:rsidRPr="001A1A13" w14:paraId="6D2C6E89" w14:textId="77777777" w:rsidTr="00353A4C">
        <w:trPr>
          <w:trHeight w:val="315"/>
        </w:trPr>
        <w:tc>
          <w:tcPr>
            <w:tcW w:w="5130" w:type="dxa"/>
            <w:tcBorders>
              <w:top w:val="nil"/>
              <w:bottom w:val="nil"/>
            </w:tcBorders>
            <w:shd w:val="clear" w:color="auto" w:fill="auto"/>
            <w:noWrap/>
            <w:vAlign w:val="bottom"/>
            <w:hideMark/>
          </w:tcPr>
          <w:p w14:paraId="71453F82" w14:textId="77777777" w:rsidR="00EE6C42" w:rsidRPr="001A1A13" w:rsidRDefault="00EE6C42" w:rsidP="00353A4C">
            <w:pPr>
              <w:rPr>
                <w:rFonts w:ascii="Palatino Linotype" w:hAnsi="Palatino Linotype" w:cs="Arial"/>
                <w:b/>
                <w:bCs/>
                <w:color w:val="000000"/>
                <w:sz w:val="22"/>
                <w:szCs w:val="22"/>
              </w:rPr>
            </w:pPr>
            <w:r w:rsidRPr="001A1A13">
              <w:rPr>
                <w:rFonts w:ascii="Palatino Linotype" w:hAnsi="Palatino Linotype" w:cs="Arial"/>
                <w:sz w:val="22"/>
                <w:szCs w:val="22"/>
              </w:rPr>
              <w:lastRenderedPageBreak/>
              <w:t xml:space="preserve">          On-Road Diesel</w:t>
            </w:r>
          </w:p>
        </w:tc>
        <w:tc>
          <w:tcPr>
            <w:tcW w:w="900" w:type="dxa"/>
            <w:tcBorders>
              <w:top w:val="nil"/>
              <w:bottom w:val="nil"/>
            </w:tcBorders>
            <w:shd w:val="clear" w:color="auto" w:fill="auto"/>
            <w:noWrap/>
            <w:vAlign w:val="bottom"/>
            <w:hideMark/>
          </w:tcPr>
          <w:p w14:paraId="08A26494" w14:textId="77777777" w:rsidR="00EE6C42" w:rsidRPr="001A1A13" w:rsidRDefault="00EE6C42" w:rsidP="00353A4C">
            <w:pPr>
              <w:jc w:val="right"/>
              <w:rPr>
                <w:rFonts w:ascii="Palatino Linotype" w:hAnsi="Palatino Linotype" w:cs="Arial"/>
                <w:color w:val="000000"/>
                <w:sz w:val="22"/>
                <w:szCs w:val="22"/>
              </w:rPr>
            </w:pPr>
            <w:r>
              <w:rPr>
                <w:rFonts w:ascii="Palatino Linotype" w:hAnsi="Palatino Linotype" w:cs="Arial"/>
                <w:color w:val="000000"/>
                <w:sz w:val="22"/>
                <w:szCs w:val="22"/>
              </w:rPr>
              <w:t>10.8</w:t>
            </w:r>
          </w:p>
        </w:tc>
        <w:tc>
          <w:tcPr>
            <w:tcW w:w="720" w:type="dxa"/>
            <w:tcBorders>
              <w:top w:val="nil"/>
              <w:bottom w:val="nil"/>
            </w:tcBorders>
            <w:shd w:val="clear" w:color="auto" w:fill="auto"/>
            <w:noWrap/>
            <w:vAlign w:val="bottom"/>
            <w:hideMark/>
          </w:tcPr>
          <w:p w14:paraId="58F9291A" w14:textId="77777777" w:rsidR="00EE6C42" w:rsidRPr="001A1A13" w:rsidRDefault="00EE6C42" w:rsidP="00353A4C">
            <w:pPr>
              <w:jc w:val="right"/>
              <w:rPr>
                <w:rFonts w:ascii="Palatino Linotype" w:hAnsi="Palatino Linotype" w:cs="Arial"/>
                <w:color w:val="000000"/>
                <w:sz w:val="22"/>
                <w:szCs w:val="22"/>
              </w:rPr>
            </w:pPr>
            <w:r>
              <w:rPr>
                <w:rFonts w:ascii="Palatino Linotype" w:hAnsi="Palatino Linotype"/>
                <w:color w:val="000000"/>
                <w:sz w:val="22"/>
                <w:szCs w:val="22"/>
              </w:rPr>
              <w:t>10.6</w:t>
            </w:r>
          </w:p>
        </w:tc>
        <w:tc>
          <w:tcPr>
            <w:tcW w:w="720" w:type="dxa"/>
            <w:tcBorders>
              <w:top w:val="nil"/>
              <w:bottom w:val="nil"/>
            </w:tcBorders>
            <w:shd w:val="clear" w:color="auto" w:fill="auto"/>
            <w:noWrap/>
            <w:vAlign w:val="bottom"/>
            <w:hideMark/>
          </w:tcPr>
          <w:p w14:paraId="69AAB225" w14:textId="77777777" w:rsidR="00EE6C42" w:rsidRPr="001A1A13" w:rsidRDefault="00EE6C42" w:rsidP="00353A4C">
            <w:pPr>
              <w:jc w:val="right"/>
              <w:rPr>
                <w:rFonts w:ascii="Palatino Linotype" w:hAnsi="Palatino Linotype" w:cs="Arial"/>
                <w:color w:val="000000"/>
                <w:sz w:val="22"/>
                <w:szCs w:val="22"/>
              </w:rPr>
            </w:pPr>
            <w:r>
              <w:rPr>
                <w:rFonts w:ascii="Palatino Linotype" w:hAnsi="Palatino Linotype"/>
                <w:color w:val="000000"/>
                <w:sz w:val="22"/>
                <w:szCs w:val="22"/>
              </w:rPr>
              <w:t>10.4</w:t>
            </w:r>
          </w:p>
        </w:tc>
        <w:tc>
          <w:tcPr>
            <w:tcW w:w="720" w:type="dxa"/>
            <w:tcBorders>
              <w:top w:val="nil"/>
              <w:bottom w:val="nil"/>
            </w:tcBorders>
            <w:shd w:val="clear" w:color="auto" w:fill="auto"/>
            <w:noWrap/>
            <w:vAlign w:val="bottom"/>
            <w:hideMark/>
          </w:tcPr>
          <w:p w14:paraId="54811E44" w14:textId="77777777" w:rsidR="00EE6C42" w:rsidRPr="001A1A13" w:rsidRDefault="00EE6C42" w:rsidP="00353A4C">
            <w:pPr>
              <w:jc w:val="right"/>
              <w:rPr>
                <w:rFonts w:ascii="Palatino Linotype" w:hAnsi="Palatino Linotype" w:cs="Arial"/>
                <w:color w:val="000000"/>
                <w:sz w:val="22"/>
                <w:szCs w:val="22"/>
              </w:rPr>
            </w:pPr>
            <w:r>
              <w:rPr>
                <w:rFonts w:ascii="Palatino Linotype" w:hAnsi="Palatino Linotype" w:cs="Arial"/>
                <w:color w:val="000000"/>
                <w:sz w:val="22"/>
                <w:szCs w:val="22"/>
              </w:rPr>
              <w:t>10.2</w:t>
            </w:r>
          </w:p>
        </w:tc>
        <w:tc>
          <w:tcPr>
            <w:tcW w:w="696" w:type="dxa"/>
            <w:tcBorders>
              <w:top w:val="nil"/>
              <w:bottom w:val="nil"/>
            </w:tcBorders>
            <w:shd w:val="clear" w:color="auto" w:fill="auto"/>
            <w:noWrap/>
            <w:vAlign w:val="bottom"/>
            <w:hideMark/>
          </w:tcPr>
          <w:p w14:paraId="7872F4F6" w14:textId="77777777" w:rsidR="00EE6C42" w:rsidRPr="001A1A13" w:rsidRDefault="00EE6C42" w:rsidP="00353A4C">
            <w:pPr>
              <w:jc w:val="right"/>
              <w:rPr>
                <w:rFonts w:ascii="Palatino Linotype" w:hAnsi="Palatino Linotype" w:cs="Arial"/>
                <w:sz w:val="22"/>
                <w:szCs w:val="22"/>
              </w:rPr>
            </w:pPr>
            <w:r>
              <w:rPr>
                <w:rFonts w:ascii="Palatino Linotype" w:hAnsi="Palatino Linotype" w:cs="Arial"/>
                <w:sz w:val="22"/>
                <w:szCs w:val="22"/>
              </w:rPr>
              <w:t>10.1</w:t>
            </w:r>
          </w:p>
        </w:tc>
      </w:tr>
      <w:tr w:rsidR="00EE6C42" w:rsidRPr="001A1A13" w14:paraId="7F804D0C" w14:textId="77777777" w:rsidTr="00353A4C">
        <w:trPr>
          <w:trHeight w:val="315"/>
        </w:trPr>
        <w:tc>
          <w:tcPr>
            <w:tcW w:w="5130" w:type="dxa"/>
            <w:tcBorders>
              <w:top w:val="nil"/>
              <w:bottom w:val="single" w:sz="4" w:space="0" w:color="auto"/>
            </w:tcBorders>
            <w:shd w:val="clear" w:color="000000" w:fill="auto"/>
            <w:noWrap/>
            <w:vAlign w:val="bottom"/>
            <w:hideMark/>
          </w:tcPr>
          <w:p w14:paraId="5C9970A2" w14:textId="77777777" w:rsidR="00EE6C42" w:rsidRPr="001A1A13" w:rsidRDefault="00EE6C42" w:rsidP="00353A4C">
            <w:pPr>
              <w:rPr>
                <w:rFonts w:ascii="Palatino Linotype" w:hAnsi="Palatino Linotype" w:cs="Arial"/>
                <w:b/>
                <w:bCs/>
                <w:color w:val="000000"/>
                <w:sz w:val="22"/>
                <w:szCs w:val="22"/>
              </w:rPr>
            </w:pPr>
            <w:r w:rsidRPr="001A1A13">
              <w:rPr>
                <w:rFonts w:ascii="Palatino Linotype" w:hAnsi="Palatino Linotype" w:cs="Arial"/>
                <w:b/>
                <w:bCs/>
                <w:sz w:val="22"/>
                <w:szCs w:val="22"/>
              </w:rPr>
              <w:t xml:space="preserve">    Total Emissions</w:t>
            </w:r>
          </w:p>
        </w:tc>
        <w:tc>
          <w:tcPr>
            <w:tcW w:w="900" w:type="dxa"/>
            <w:tcBorders>
              <w:top w:val="nil"/>
              <w:bottom w:val="single" w:sz="4" w:space="0" w:color="auto"/>
            </w:tcBorders>
            <w:shd w:val="clear" w:color="000000" w:fill="auto"/>
            <w:noWrap/>
            <w:vAlign w:val="bottom"/>
            <w:hideMark/>
          </w:tcPr>
          <w:p w14:paraId="0582E23A" w14:textId="77777777" w:rsidR="00EE6C42" w:rsidRPr="001A1A13" w:rsidRDefault="00EE6C42" w:rsidP="00353A4C">
            <w:pPr>
              <w:jc w:val="right"/>
              <w:rPr>
                <w:rFonts w:ascii="Palatino Linotype" w:hAnsi="Palatino Linotype" w:cs="Arial"/>
                <w:b/>
                <w:bCs/>
                <w:color w:val="000000"/>
                <w:sz w:val="22"/>
                <w:szCs w:val="22"/>
              </w:rPr>
            </w:pPr>
            <w:r>
              <w:rPr>
                <w:rFonts w:ascii="Palatino Linotype" w:hAnsi="Palatino Linotype" w:cs="Arial"/>
                <w:b/>
                <w:bCs/>
                <w:color w:val="000000"/>
                <w:sz w:val="22"/>
                <w:szCs w:val="22"/>
              </w:rPr>
              <w:t>39.2</w:t>
            </w:r>
          </w:p>
        </w:tc>
        <w:tc>
          <w:tcPr>
            <w:tcW w:w="720" w:type="dxa"/>
            <w:tcBorders>
              <w:top w:val="nil"/>
              <w:bottom w:val="single" w:sz="4" w:space="0" w:color="auto"/>
            </w:tcBorders>
            <w:shd w:val="clear" w:color="000000" w:fill="auto"/>
            <w:noWrap/>
            <w:vAlign w:val="bottom"/>
            <w:hideMark/>
          </w:tcPr>
          <w:p w14:paraId="092D89B7" w14:textId="77777777" w:rsidR="00EE6C42" w:rsidRPr="001A1A13" w:rsidRDefault="00EE6C42" w:rsidP="00353A4C">
            <w:pPr>
              <w:jc w:val="right"/>
              <w:rPr>
                <w:rFonts w:ascii="Palatino Linotype" w:hAnsi="Palatino Linotype" w:cs="Arial"/>
                <w:b/>
                <w:bCs/>
                <w:color w:val="000000"/>
                <w:sz w:val="22"/>
                <w:szCs w:val="22"/>
              </w:rPr>
            </w:pPr>
            <w:r>
              <w:rPr>
                <w:rFonts w:ascii="Palatino Linotype" w:hAnsi="Palatino Linotype" w:cs="Arial"/>
                <w:b/>
                <w:bCs/>
                <w:color w:val="000000"/>
                <w:sz w:val="22"/>
                <w:szCs w:val="22"/>
              </w:rPr>
              <w:t>38.6</w:t>
            </w:r>
          </w:p>
        </w:tc>
        <w:tc>
          <w:tcPr>
            <w:tcW w:w="720" w:type="dxa"/>
            <w:tcBorders>
              <w:top w:val="nil"/>
              <w:bottom w:val="single" w:sz="4" w:space="0" w:color="auto"/>
            </w:tcBorders>
            <w:shd w:val="clear" w:color="000000" w:fill="auto"/>
            <w:noWrap/>
            <w:vAlign w:val="bottom"/>
            <w:hideMark/>
          </w:tcPr>
          <w:p w14:paraId="3308DF43" w14:textId="77777777" w:rsidR="00EE6C42" w:rsidRPr="001A1A13" w:rsidRDefault="00EE6C42" w:rsidP="00353A4C">
            <w:pPr>
              <w:jc w:val="right"/>
              <w:rPr>
                <w:rFonts w:ascii="Palatino Linotype" w:hAnsi="Palatino Linotype" w:cs="Arial"/>
                <w:b/>
                <w:bCs/>
                <w:color w:val="000000"/>
                <w:sz w:val="22"/>
                <w:szCs w:val="22"/>
              </w:rPr>
            </w:pPr>
            <w:r>
              <w:rPr>
                <w:rFonts w:ascii="Palatino Linotype" w:hAnsi="Palatino Linotype" w:cs="Arial"/>
                <w:b/>
                <w:bCs/>
                <w:color w:val="000000"/>
                <w:sz w:val="22"/>
                <w:szCs w:val="22"/>
              </w:rPr>
              <w:t>38.0</w:t>
            </w:r>
          </w:p>
        </w:tc>
        <w:tc>
          <w:tcPr>
            <w:tcW w:w="720" w:type="dxa"/>
            <w:tcBorders>
              <w:top w:val="nil"/>
              <w:bottom w:val="single" w:sz="4" w:space="0" w:color="auto"/>
            </w:tcBorders>
            <w:shd w:val="clear" w:color="000000" w:fill="auto"/>
            <w:noWrap/>
            <w:vAlign w:val="bottom"/>
            <w:hideMark/>
          </w:tcPr>
          <w:p w14:paraId="7669E680" w14:textId="77777777" w:rsidR="00EE6C42" w:rsidRPr="001A1A13" w:rsidRDefault="00EE6C42" w:rsidP="00353A4C">
            <w:pPr>
              <w:jc w:val="right"/>
              <w:rPr>
                <w:rFonts w:ascii="Palatino Linotype" w:hAnsi="Palatino Linotype" w:cs="Arial"/>
                <w:b/>
                <w:bCs/>
                <w:color w:val="000000"/>
                <w:sz w:val="22"/>
                <w:szCs w:val="22"/>
              </w:rPr>
            </w:pPr>
            <w:r>
              <w:rPr>
                <w:rFonts w:ascii="Palatino Linotype" w:hAnsi="Palatino Linotype" w:cs="Arial"/>
                <w:b/>
                <w:bCs/>
                <w:color w:val="000000"/>
                <w:sz w:val="22"/>
                <w:szCs w:val="22"/>
              </w:rPr>
              <w:t>37.3</w:t>
            </w:r>
          </w:p>
        </w:tc>
        <w:tc>
          <w:tcPr>
            <w:tcW w:w="696" w:type="dxa"/>
            <w:tcBorders>
              <w:top w:val="nil"/>
              <w:bottom w:val="single" w:sz="4" w:space="0" w:color="auto"/>
            </w:tcBorders>
            <w:shd w:val="clear" w:color="000000" w:fill="auto"/>
            <w:noWrap/>
            <w:vAlign w:val="bottom"/>
            <w:hideMark/>
          </w:tcPr>
          <w:p w14:paraId="57BCC28C" w14:textId="77777777" w:rsidR="00EE6C42" w:rsidRPr="001A1A13" w:rsidRDefault="00EE6C42" w:rsidP="00353A4C">
            <w:pPr>
              <w:jc w:val="right"/>
              <w:rPr>
                <w:rFonts w:ascii="Palatino Linotype" w:hAnsi="Palatino Linotype" w:cs="Arial"/>
                <w:b/>
                <w:bCs/>
                <w:sz w:val="22"/>
                <w:szCs w:val="22"/>
              </w:rPr>
            </w:pPr>
            <w:r>
              <w:rPr>
                <w:rFonts w:ascii="Palatino Linotype" w:hAnsi="Palatino Linotype" w:cs="Arial"/>
                <w:b/>
                <w:bCs/>
                <w:sz w:val="22"/>
                <w:szCs w:val="22"/>
              </w:rPr>
              <w:t>36.8</w:t>
            </w:r>
          </w:p>
        </w:tc>
      </w:tr>
      <w:tr w:rsidR="00EE6C42" w:rsidRPr="001A1A13" w14:paraId="7F87DA26" w14:textId="77777777" w:rsidTr="00353A4C">
        <w:trPr>
          <w:trHeight w:val="315"/>
        </w:trPr>
        <w:tc>
          <w:tcPr>
            <w:tcW w:w="5130" w:type="dxa"/>
            <w:tcBorders>
              <w:top w:val="single" w:sz="4" w:space="0" w:color="auto"/>
              <w:bottom w:val="single" w:sz="4" w:space="0" w:color="auto"/>
            </w:tcBorders>
            <w:shd w:val="clear" w:color="000000" w:fill="auto"/>
            <w:noWrap/>
            <w:vAlign w:val="bottom"/>
          </w:tcPr>
          <w:p w14:paraId="7818BD8B" w14:textId="77777777" w:rsidR="00EE6C42" w:rsidRPr="001A1A13" w:rsidRDefault="00EE6C42" w:rsidP="00353A4C">
            <w:pPr>
              <w:rPr>
                <w:rFonts w:ascii="Palatino Linotype" w:hAnsi="Palatino Linotype" w:cs="Arial"/>
                <w:b/>
                <w:bCs/>
                <w:sz w:val="22"/>
                <w:szCs w:val="22"/>
              </w:rPr>
            </w:pPr>
            <w:r w:rsidRPr="001A1A13">
              <w:rPr>
                <w:rFonts w:ascii="Palatino Linotype" w:hAnsi="Palatino Linotype" w:cs="Arial"/>
                <w:b/>
                <w:bCs/>
                <w:color w:val="000000"/>
                <w:sz w:val="22"/>
                <w:szCs w:val="22"/>
              </w:rPr>
              <w:t>CO2E from Fossil Fuel Combustion (25%)</w:t>
            </w:r>
          </w:p>
        </w:tc>
        <w:tc>
          <w:tcPr>
            <w:tcW w:w="900" w:type="dxa"/>
            <w:tcBorders>
              <w:top w:val="single" w:sz="4" w:space="0" w:color="auto"/>
              <w:bottom w:val="single" w:sz="4" w:space="0" w:color="auto"/>
            </w:tcBorders>
            <w:shd w:val="clear" w:color="000000" w:fill="auto"/>
            <w:noWrap/>
            <w:vAlign w:val="bottom"/>
          </w:tcPr>
          <w:p w14:paraId="682C64D2" w14:textId="77777777" w:rsidR="00EE6C42" w:rsidRPr="001A1A13" w:rsidRDefault="00EE6C42" w:rsidP="00353A4C">
            <w:pPr>
              <w:jc w:val="right"/>
              <w:rPr>
                <w:rFonts w:ascii="Palatino Linotype" w:hAnsi="Palatino Linotype" w:cs="Arial"/>
                <w:b/>
                <w:bCs/>
                <w:color w:val="000000"/>
                <w:sz w:val="22"/>
                <w:szCs w:val="22"/>
              </w:rPr>
            </w:pPr>
          </w:p>
        </w:tc>
        <w:tc>
          <w:tcPr>
            <w:tcW w:w="720" w:type="dxa"/>
            <w:tcBorders>
              <w:top w:val="single" w:sz="4" w:space="0" w:color="auto"/>
              <w:bottom w:val="single" w:sz="4" w:space="0" w:color="auto"/>
            </w:tcBorders>
            <w:shd w:val="clear" w:color="000000" w:fill="auto"/>
            <w:noWrap/>
            <w:vAlign w:val="bottom"/>
          </w:tcPr>
          <w:p w14:paraId="0A24B8B7" w14:textId="77777777" w:rsidR="00EE6C42" w:rsidRPr="001A1A13" w:rsidRDefault="00EE6C42" w:rsidP="00353A4C">
            <w:pPr>
              <w:jc w:val="right"/>
              <w:rPr>
                <w:rFonts w:ascii="Palatino Linotype" w:hAnsi="Palatino Linotype" w:cs="Arial"/>
                <w:b/>
                <w:bCs/>
                <w:color w:val="000000"/>
                <w:sz w:val="22"/>
                <w:szCs w:val="22"/>
              </w:rPr>
            </w:pPr>
          </w:p>
        </w:tc>
        <w:tc>
          <w:tcPr>
            <w:tcW w:w="720" w:type="dxa"/>
            <w:tcBorders>
              <w:top w:val="single" w:sz="4" w:space="0" w:color="auto"/>
              <w:bottom w:val="single" w:sz="4" w:space="0" w:color="auto"/>
            </w:tcBorders>
            <w:shd w:val="clear" w:color="000000" w:fill="auto"/>
            <w:noWrap/>
            <w:vAlign w:val="bottom"/>
          </w:tcPr>
          <w:p w14:paraId="3DCEF196" w14:textId="77777777" w:rsidR="00EE6C42" w:rsidRPr="001A1A13" w:rsidRDefault="00EE6C42" w:rsidP="00353A4C">
            <w:pPr>
              <w:jc w:val="right"/>
              <w:rPr>
                <w:rFonts w:ascii="Palatino Linotype" w:hAnsi="Palatino Linotype" w:cs="Arial"/>
                <w:b/>
                <w:bCs/>
                <w:color w:val="000000"/>
                <w:sz w:val="22"/>
                <w:szCs w:val="22"/>
              </w:rPr>
            </w:pPr>
          </w:p>
        </w:tc>
        <w:tc>
          <w:tcPr>
            <w:tcW w:w="720" w:type="dxa"/>
            <w:tcBorders>
              <w:top w:val="single" w:sz="4" w:space="0" w:color="auto"/>
              <w:bottom w:val="single" w:sz="4" w:space="0" w:color="auto"/>
            </w:tcBorders>
            <w:shd w:val="clear" w:color="000000" w:fill="auto"/>
            <w:noWrap/>
            <w:vAlign w:val="bottom"/>
          </w:tcPr>
          <w:p w14:paraId="4716EEAB" w14:textId="77777777" w:rsidR="00EE6C42" w:rsidRPr="001A1A13" w:rsidRDefault="00EE6C42" w:rsidP="00353A4C">
            <w:pPr>
              <w:jc w:val="right"/>
              <w:rPr>
                <w:rFonts w:ascii="Palatino Linotype" w:hAnsi="Palatino Linotype" w:cs="Arial"/>
                <w:b/>
                <w:bCs/>
                <w:color w:val="000000"/>
                <w:sz w:val="22"/>
                <w:szCs w:val="22"/>
              </w:rPr>
            </w:pPr>
          </w:p>
        </w:tc>
        <w:tc>
          <w:tcPr>
            <w:tcW w:w="696" w:type="dxa"/>
            <w:tcBorders>
              <w:top w:val="single" w:sz="4" w:space="0" w:color="auto"/>
              <w:bottom w:val="single" w:sz="4" w:space="0" w:color="auto"/>
            </w:tcBorders>
            <w:shd w:val="clear" w:color="000000" w:fill="auto"/>
            <w:noWrap/>
            <w:vAlign w:val="bottom"/>
          </w:tcPr>
          <w:p w14:paraId="55CEF488" w14:textId="77777777" w:rsidR="00EE6C42" w:rsidRPr="001A1A13" w:rsidRDefault="00EE6C42" w:rsidP="00353A4C">
            <w:pPr>
              <w:jc w:val="right"/>
              <w:rPr>
                <w:rFonts w:ascii="Palatino Linotype" w:hAnsi="Palatino Linotype" w:cs="Arial"/>
                <w:b/>
                <w:bCs/>
                <w:sz w:val="22"/>
                <w:szCs w:val="22"/>
              </w:rPr>
            </w:pPr>
          </w:p>
        </w:tc>
      </w:tr>
      <w:tr w:rsidR="00EE6C42" w:rsidRPr="001A1A13" w14:paraId="151C859E" w14:textId="77777777" w:rsidTr="00353A4C">
        <w:trPr>
          <w:trHeight w:val="315"/>
        </w:trPr>
        <w:tc>
          <w:tcPr>
            <w:tcW w:w="5130" w:type="dxa"/>
            <w:tcBorders>
              <w:top w:val="single" w:sz="4" w:space="0" w:color="auto"/>
              <w:bottom w:val="nil"/>
            </w:tcBorders>
            <w:shd w:val="clear" w:color="000000" w:fill="auto"/>
            <w:noWrap/>
            <w:vAlign w:val="bottom"/>
          </w:tcPr>
          <w:p w14:paraId="19C8CE5B" w14:textId="77777777" w:rsidR="00EE6C42" w:rsidRPr="001A1A13" w:rsidRDefault="00EE6C42" w:rsidP="00353A4C">
            <w:pPr>
              <w:rPr>
                <w:rFonts w:ascii="Palatino Linotype" w:hAnsi="Palatino Linotype" w:cs="Arial"/>
                <w:b/>
                <w:bCs/>
                <w:sz w:val="22"/>
                <w:szCs w:val="22"/>
              </w:rPr>
            </w:pPr>
            <w:r w:rsidRPr="001A1A13">
              <w:rPr>
                <w:rFonts w:ascii="Palatino Linotype" w:hAnsi="Palatino Linotype" w:cs="Arial"/>
                <w:sz w:val="22"/>
                <w:szCs w:val="22"/>
              </w:rPr>
              <w:t xml:space="preserve">          Finished Gasoline</w:t>
            </w:r>
          </w:p>
        </w:tc>
        <w:tc>
          <w:tcPr>
            <w:tcW w:w="900" w:type="dxa"/>
            <w:tcBorders>
              <w:top w:val="single" w:sz="4" w:space="0" w:color="auto"/>
              <w:bottom w:val="nil"/>
            </w:tcBorders>
            <w:shd w:val="clear" w:color="000000" w:fill="auto"/>
            <w:noWrap/>
            <w:vAlign w:val="bottom"/>
          </w:tcPr>
          <w:p w14:paraId="47A137EC" w14:textId="77777777" w:rsidR="00EE6C42" w:rsidRPr="008A6B2F" w:rsidRDefault="00EE6C42" w:rsidP="00353A4C">
            <w:pPr>
              <w:jc w:val="right"/>
              <w:rPr>
                <w:rFonts w:ascii="Palatino Linotype" w:hAnsi="Palatino Linotype" w:cs="Arial"/>
                <w:color w:val="000000"/>
                <w:sz w:val="22"/>
                <w:szCs w:val="22"/>
              </w:rPr>
            </w:pPr>
            <w:r>
              <w:rPr>
                <w:rFonts w:ascii="Palatino Linotype" w:hAnsi="Palatino Linotype" w:cs="Arial"/>
                <w:color w:val="000000"/>
                <w:sz w:val="22"/>
                <w:szCs w:val="22"/>
              </w:rPr>
              <w:t>28.3</w:t>
            </w:r>
          </w:p>
        </w:tc>
        <w:tc>
          <w:tcPr>
            <w:tcW w:w="720" w:type="dxa"/>
            <w:tcBorders>
              <w:top w:val="single" w:sz="4" w:space="0" w:color="auto"/>
              <w:bottom w:val="nil"/>
            </w:tcBorders>
            <w:shd w:val="clear" w:color="000000" w:fill="auto"/>
            <w:noWrap/>
            <w:vAlign w:val="bottom"/>
          </w:tcPr>
          <w:p w14:paraId="0EEB41CA" w14:textId="77777777" w:rsidR="00EE6C42" w:rsidRPr="008A6B2F" w:rsidRDefault="00EE6C42" w:rsidP="00353A4C">
            <w:pPr>
              <w:jc w:val="right"/>
              <w:rPr>
                <w:rFonts w:ascii="Palatino Linotype" w:hAnsi="Palatino Linotype" w:cs="Arial"/>
                <w:color w:val="000000"/>
                <w:sz w:val="22"/>
                <w:szCs w:val="22"/>
              </w:rPr>
            </w:pPr>
            <w:r>
              <w:rPr>
                <w:rFonts w:ascii="Palatino Linotype" w:hAnsi="Palatino Linotype" w:cs="Arial"/>
                <w:color w:val="000000"/>
                <w:sz w:val="22"/>
                <w:szCs w:val="22"/>
              </w:rPr>
              <w:t>27.8</w:t>
            </w:r>
          </w:p>
        </w:tc>
        <w:tc>
          <w:tcPr>
            <w:tcW w:w="720" w:type="dxa"/>
            <w:tcBorders>
              <w:top w:val="single" w:sz="4" w:space="0" w:color="auto"/>
              <w:bottom w:val="nil"/>
            </w:tcBorders>
            <w:shd w:val="clear" w:color="000000" w:fill="auto"/>
            <w:noWrap/>
            <w:vAlign w:val="bottom"/>
          </w:tcPr>
          <w:p w14:paraId="724788D1" w14:textId="77777777" w:rsidR="00EE6C42" w:rsidRPr="008A6B2F" w:rsidRDefault="00EE6C42" w:rsidP="00353A4C">
            <w:pPr>
              <w:jc w:val="right"/>
              <w:rPr>
                <w:rFonts w:ascii="Palatino Linotype" w:hAnsi="Palatino Linotype" w:cs="Arial"/>
                <w:color w:val="000000"/>
                <w:sz w:val="22"/>
                <w:szCs w:val="22"/>
              </w:rPr>
            </w:pPr>
            <w:r>
              <w:rPr>
                <w:rFonts w:ascii="Palatino Linotype" w:hAnsi="Palatino Linotype" w:cs="Arial"/>
                <w:color w:val="000000"/>
                <w:sz w:val="22"/>
                <w:szCs w:val="22"/>
              </w:rPr>
              <w:t>27.2</w:t>
            </w:r>
          </w:p>
        </w:tc>
        <w:tc>
          <w:tcPr>
            <w:tcW w:w="720" w:type="dxa"/>
            <w:tcBorders>
              <w:top w:val="single" w:sz="4" w:space="0" w:color="auto"/>
              <w:bottom w:val="nil"/>
            </w:tcBorders>
            <w:shd w:val="clear" w:color="000000" w:fill="auto"/>
            <w:noWrap/>
            <w:vAlign w:val="bottom"/>
          </w:tcPr>
          <w:p w14:paraId="3D58C119" w14:textId="77777777" w:rsidR="00EE6C42" w:rsidRPr="008A6B2F" w:rsidRDefault="00EE6C42" w:rsidP="00353A4C">
            <w:pPr>
              <w:jc w:val="right"/>
              <w:rPr>
                <w:rFonts w:ascii="Palatino Linotype" w:hAnsi="Palatino Linotype" w:cs="Arial"/>
                <w:color w:val="000000"/>
                <w:sz w:val="22"/>
                <w:szCs w:val="22"/>
              </w:rPr>
            </w:pPr>
            <w:r>
              <w:rPr>
                <w:rFonts w:ascii="Palatino Linotype" w:hAnsi="Palatino Linotype"/>
                <w:color w:val="000000"/>
                <w:sz w:val="22"/>
                <w:szCs w:val="22"/>
              </w:rPr>
              <w:t>26.7</w:t>
            </w:r>
          </w:p>
        </w:tc>
        <w:tc>
          <w:tcPr>
            <w:tcW w:w="696" w:type="dxa"/>
            <w:tcBorders>
              <w:top w:val="single" w:sz="4" w:space="0" w:color="auto"/>
              <w:bottom w:val="nil"/>
            </w:tcBorders>
            <w:shd w:val="clear" w:color="000000" w:fill="auto"/>
            <w:noWrap/>
            <w:vAlign w:val="bottom"/>
          </w:tcPr>
          <w:p w14:paraId="10F4A9A3" w14:textId="77777777" w:rsidR="00EE6C42" w:rsidRPr="008A6B2F" w:rsidRDefault="00EE6C42" w:rsidP="00353A4C">
            <w:pPr>
              <w:jc w:val="right"/>
              <w:rPr>
                <w:rFonts w:ascii="Palatino Linotype" w:hAnsi="Palatino Linotype" w:cs="Arial"/>
                <w:sz w:val="22"/>
                <w:szCs w:val="22"/>
              </w:rPr>
            </w:pPr>
            <w:r>
              <w:rPr>
                <w:rFonts w:ascii="Palatino Linotype" w:hAnsi="Palatino Linotype"/>
                <w:color w:val="000000"/>
                <w:sz w:val="22"/>
                <w:szCs w:val="22"/>
              </w:rPr>
              <w:t>26.1</w:t>
            </w:r>
          </w:p>
        </w:tc>
      </w:tr>
      <w:tr w:rsidR="00EE6C42" w:rsidRPr="001A1A13" w14:paraId="40F29D6B" w14:textId="77777777" w:rsidTr="00353A4C">
        <w:trPr>
          <w:trHeight w:val="315"/>
        </w:trPr>
        <w:tc>
          <w:tcPr>
            <w:tcW w:w="5130" w:type="dxa"/>
            <w:tcBorders>
              <w:top w:val="nil"/>
              <w:bottom w:val="nil"/>
            </w:tcBorders>
            <w:shd w:val="clear" w:color="000000" w:fill="auto"/>
            <w:noWrap/>
            <w:vAlign w:val="bottom"/>
          </w:tcPr>
          <w:p w14:paraId="023EC91B" w14:textId="77777777" w:rsidR="00EE6C42" w:rsidRPr="001A1A13" w:rsidRDefault="00EE6C42" w:rsidP="00353A4C">
            <w:pPr>
              <w:rPr>
                <w:rFonts w:ascii="Palatino Linotype" w:hAnsi="Palatino Linotype" w:cs="Arial"/>
                <w:b/>
                <w:bCs/>
                <w:sz w:val="22"/>
                <w:szCs w:val="22"/>
              </w:rPr>
            </w:pPr>
            <w:r w:rsidRPr="001A1A13">
              <w:rPr>
                <w:rFonts w:ascii="Palatino Linotype" w:hAnsi="Palatino Linotype" w:cs="Arial"/>
                <w:sz w:val="22"/>
                <w:szCs w:val="22"/>
              </w:rPr>
              <w:t xml:space="preserve">          On-Road Diesel</w:t>
            </w:r>
          </w:p>
        </w:tc>
        <w:tc>
          <w:tcPr>
            <w:tcW w:w="900" w:type="dxa"/>
            <w:tcBorders>
              <w:top w:val="nil"/>
              <w:bottom w:val="nil"/>
            </w:tcBorders>
            <w:shd w:val="clear" w:color="000000" w:fill="auto"/>
            <w:noWrap/>
            <w:vAlign w:val="bottom"/>
          </w:tcPr>
          <w:p w14:paraId="3DB5C7F5" w14:textId="77777777" w:rsidR="00EE6C42" w:rsidRPr="002B1CFD" w:rsidRDefault="00EE6C42" w:rsidP="00353A4C">
            <w:pPr>
              <w:jc w:val="right"/>
              <w:rPr>
                <w:rFonts w:ascii="Palatino Linotype" w:hAnsi="Palatino Linotype" w:cs="Arial"/>
                <w:color w:val="000000"/>
                <w:sz w:val="22"/>
                <w:szCs w:val="22"/>
              </w:rPr>
            </w:pPr>
            <w:r>
              <w:rPr>
                <w:rFonts w:ascii="Palatino Linotype" w:hAnsi="Palatino Linotype"/>
                <w:color w:val="000000"/>
                <w:sz w:val="22"/>
                <w:szCs w:val="22"/>
              </w:rPr>
              <w:t>10.7</w:t>
            </w:r>
          </w:p>
        </w:tc>
        <w:tc>
          <w:tcPr>
            <w:tcW w:w="720" w:type="dxa"/>
            <w:tcBorders>
              <w:top w:val="nil"/>
              <w:bottom w:val="nil"/>
            </w:tcBorders>
            <w:shd w:val="clear" w:color="000000" w:fill="auto"/>
            <w:noWrap/>
            <w:vAlign w:val="bottom"/>
          </w:tcPr>
          <w:p w14:paraId="01C4CFDC" w14:textId="77777777" w:rsidR="00EE6C42" w:rsidRPr="002B1CFD" w:rsidRDefault="00EE6C42" w:rsidP="00353A4C">
            <w:pPr>
              <w:jc w:val="right"/>
              <w:rPr>
                <w:rFonts w:ascii="Palatino Linotype" w:hAnsi="Palatino Linotype" w:cs="Arial"/>
                <w:color w:val="000000"/>
                <w:sz w:val="22"/>
                <w:szCs w:val="22"/>
              </w:rPr>
            </w:pPr>
            <w:r>
              <w:rPr>
                <w:rFonts w:ascii="Palatino Linotype" w:hAnsi="Palatino Linotype"/>
                <w:color w:val="000000"/>
                <w:sz w:val="22"/>
                <w:szCs w:val="22"/>
              </w:rPr>
              <w:t>10.5</w:t>
            </w:r>
          </w:p>
        </w:tc>
        <w:tc>
          <w:tcPr>
            <w:tcW w:w="720" w:type="dxa"/>
            <w:tcBorders>
              <w:top w:val="nil"/>
              <w:bottom w:val="nil"/>
            </w:tcBorders>
            <w:shd w:val="clear" w:color="000000" w:fill="auto"/>
            <w:noWrap/>
            <w:vAlign w:val="bottom"/>
          </w:tcPr>
          <w:p w14:paraId="7666EAD5" w14:textId="77777777" w:rsidR="00EE6C42" w:rsidRPr="002B1CFD" w:rsidRDefault="00EE6C42" w:rsidP="00353A4C">
            <w:pPr>
              <w:jc w:val="right"/>
              <w:rPr>
                <w:rFonts w:ascii="Palatino Linotype" w:hAnsi="Palatino Linotype" w:cs="Arial"/>
                <w:color w:val="000000"/>
                <w:sz w:val="22"/>
                <w:szCs w:val="22"/>
              </w:rPr>
            </w:pPr>
            <w:r>
              <w:rPr>
                <w:rFonts w:ascii="Palatino Linotype" w:hAnsi="Palatino Linotype"/>
                <w:color w:val="000000"/>
                <w:sz w:val="22"/>
                <w:szCs w:val="22"/>
              </w:rPr>
              <w:t>10.3</w:t>
            </w:r>
          </w:p>
        </w:tc>
        <w:tc>
          <w:tcPr>
            <w:tcW w:w="720" w:type="dxa"/>
            <w:tcBorders>
              <w:top w:val="nil"/>
              <w:bottom w:val="nil"/>
            </w:tcBorders>
            <w:shd w:val="clear" w:color="000000" w:fill="auto"/>
            <w:noWrap/>
            <w:vAlign w:val="bottom"/>
          </w:tcPr>
          <w:p w14:paraId="654BEB42" w14:textId="77777777" w:rsidR="00EE6C42" w:rsidRPr="002B1CFD" w:rsidRDefault="00EE6C42" w:rsidP="00353A4C">
            <w:pPr>
              <w:jc w:val="right"/>
              <w:rPr>
                <w:rFonts w:ascii="Palatino Linotype" w:hAnsi="Palatino Linotype" w:cs="Arial"/>
                <w:color w:val="000000"/>
                <w:sz w:val="22"/>
                <w:szCs w:val="22"/>
              </w:rPr>
            </w:pPr>
            <w:r>
              <w:rPr>
                <w:rFonts w:ascii="Palatino Linotype" w:hAnsi="Palatino Linotype" w:cs="Arial"/>
                <w:color w:val="000000"/>
                <w:sz w:val="22"/>
                <w:szCs w:val="22"/>
              </w:rPr>
              <w:t>10.1</w:t>
            </w:r>
          </w:p>
        </w:tc>
        <w:tc>
          <w:tcPr>
            <w:tcW w:w="696" w:type="dxa"/>
            <w:tcBorders>
              <w:top w:val="nil"/>
              <w:bottom w:val="nil"/>
            </w:tcBorders>
            <w:shd w:val="clear" w:color="000000" w:fill="auto"/>
            <w:noWrap/>
            <w:vAlign w:val="bottom"/>
          </w:tcPr>
          <w:p w14:paraId="2C8D39E4" w14:textId="77777777" w:rsidR="00EE6C42" w:rsidRPr="002B1CFD" w:rsidRDefault="00EE6C42" w:rsidP="00353A4C">
            <w:pPr>
              <w:jc w:val="right"/>
              <w:rPr>
                <w:rFonts w:ascii="Palatino Linotype" w:hAnsi="Palatino Linotype" w:cs="Arial"/>
                <w:sz w:val="22"/>
                <w:szCs w:val="22"/>
              </w:rPr>
            </w:pPr>
            <w:r>
              <w:rPr>
                <w:rFonts w:ascii="Palatino Linotype" w:hAnsi="Palatino Linotype" w:cs="Arial"/>
                <w:sz w:val="22"/>
                <w:szCs w:val="22"/>
              </w:rPr>
              <w:t>9.9</w:t>
            </w:r>
          </w:p>
        </w:tc>
      </w:tr>
      <w:tr w:rsidR="00EE6C42" w:rsidRPr="0056653D" w14:paraId="35223F85" w14:textId="77777777" w:rsidTr="00353A4C">
        <w:trPr>
          <w:trHeight w:val="315"/>
        </w:trPr>
        <w:tc>
          <w:tcPr>
            <w:tcW w:w="5130" w:type="dxa"/>
            <w:tcBorders>
              <w:top w:val="nil"/>
              <w:bottom w:val="single" w:sz="8" w:space="0" w:color="auto"/>
            </w:tcBorders>
            <w:shd w:val="clear" w:color="000000" w:fill="auto"/>
            <w:noWrap/>
            <w:vAlign w:val="bottom"/>
          </w:tcPr>
          <w:p w14:paraId="368DF78D" w14:textId="77777777" w:rsidR="00EE6C42" w:rsidRPr="001A1A13" w:rsidRDefault="00EE6C42" w:rsidP="00353A4C">
            <w:pPr>
              <w:rPr>
                <w:rFonts w:ascii="Palatino Linotype" w:hAnsi="Palatino Linotype" w:cs="Arial"/>
                <w:b/>
                <w:bCs/>
                <w:sz w:val="22"/>
                <w:szCs w:val="22"/>
              </w:rPr>
            </w:pPr>
            <w:r w:rsidRPr="001A1A13">
              <w:rPr>
                <w:rFonts w:ascii="Palatino Linotype" w:hAnsi="Palatino Linotype" w:cs="Arial"/>
                <w:b/>
                <w:bCs/>
                <w:sz w:val="22"/>
                <w:szCs w:val="22"/>
              </w:rPr>
              <w:t xml:space="preserve">    Total Emissions</w:t>
            </w:r>
          </w:p>
        </w:tc>
        <w:tc>
          <w:tcPr>
            <w:tcW w:w="900" w:type="dxa"/>
            <w:tcBorders>
              <w:top w:val="nil"/>
              <w:bottom w:val="single" w:sz="8" w:space="0" w:color="auto"/>
            </w:tcBorders>
            <w:shd w:val="clear" w:color="000000" w:fill="auto"/>
            <w:noWrap/>
            <w:vAlign w:val="bottom"/>
          </w:tcPr>
          <w:p w14:paraId="7F5EA25A" w14:textId="77777777" w:rsidR="00EE6C42" w:rsidRPr="001A1A13" w:rsidRDefault="00EE6C42" w:rsidP="00353A4C">
            <w:pPr>
              <w:jc w:val="right"/>
              <w:rPr>
                <w:rFonts w:ascii="Palatino Linotype" w:hAnsi="Palatino Linotype" w:cs="Arial"/>
                <w:b/>
                <w:bCs/>
                <w:color w:val="000000"/>
                <w:sz w:val="22"/>
                <w:szCs w:val="22"/>
              </w:rPr>
            </w:pPr>
            <w:r>
              <w:rPr>
                <w:rFonts w:ascii="Palatino Linotype" w:hAnsi="Palatino Linotype" w:cs="Arial"/>
                <w:b/>
                <w:bCs/>
                <w:color w:val="000000"/>
                <w:sz w:val="22"/>
                <w:szCs w:val="22"/>
              </w:rPr>
              <w:t>39.0</w:t>
            </w:r>
          </w:p>
        </w:tc>
        <w:tc>
          <w:tcPr>
            <w:tcW w:w="720" w:type="dxa"/>
            <w:tcBorders>
              <w:top w:val="nil"/>
              <w:bottom w:val="single" w:sz="8" w:space="0" w:color="auto"/>
            </w:tcBorders>
            <w:shd w:val="clear" w:color="000000" w:fill="auto"/>
            <w:noWrap/>
            <w:vAlign w:val="bottom"/>
          </w:tcPr>
          <w:p w14:paraId="6C87577F" w14:textId="77777777" w:rsidR="00EE6C42" w:rsidRPr="001A1A13" w:rsidRDefault="00EE6C42" w:rsidP="00353A4C">
            <w:pPr>
              <w:jc w:val="right"/>
              <w:rPr>
                <w:rFonts w:ascii="Palatino Linotype" w:hAnsi="Palatino Linotype" w:cs="Arial"/>
                <w:b/>
                <w:bCs/>
                <w:color w:val="000000"/>
                <w:sz w:val="22"/>
                <w:szCs w:val="22"/>
              </w:rPr>
            </w:pPr>
            <w:r>
              <w:rPr>
                <w:rFonts w:ascii="Palatino Linotype" w:hAnsi="Palatino Linotype" w:cs="Arial"/>
                <w:b/>
                <w:bCs/>
                <w:color w:val="000000"/>
                <w:sz w:val="22"/>
                <w:szCs w:val="22"/>
              </w:rPr>
              <w:t>38.3</w:t>
            </w:r>
          </w:p>
        </w:tc>
        <w:tc>
          <w:tcPr>
            <w:tcW w:w="720" w:type="dxa"/>
            <w:tcBorders>
              <w:top w:val="nil"/>
              <w:bottom w:val="single" w:sz="8" w:space="0" w:color="auto"/>
            </w:tcBorders>
            <w:shd w:val="clear" w:color="000000" w:fill="auto"/>
            <w:noWrap/>
            <w:vAlign w:val="bottom"/>
          </w:tcPr>
          <w:p w14:paraId="1F348645" w14:textId="77777777" w:rsidR="00EE6C42" w:rsidRPr="001A1A13" w:rsidRDefault="00EE6C42" w:rsidP="00353A4C">
            <w:pPr>
              <w:jc w:val="right"/>
              <w:rPr>
                <w:rFonts w:ascii="Palatino Linotype" w:hAnsi="Palatino Linotype" w:cs="Arial"/>
                <w:b/>
                <w:bCs/>
                <w:color w:val="000000"/>
                <w:sz w:val="22"/>
                <w:szCs w:val="22"/>
              </w:rPr>
            </w:pPr>
            <w:r>
              <w:rPr>
                <w:rFonts w:ascii="Palatino Linotype" w:hAnsi="Palatino Linotype" w:cs="Arial"/>
                <w:b/>
                <w:bCs/>
                <w:color w:val="000000"/>
                <w:sz w:val="22"/>
                <w:szCs w:val="22"/>
              </w:rPr>
              <w:t>37.5</w:t>
            </w:r>
          </w:p>
        </w:tc>
        <w:tc>
          <w:tcPr>
            <w:tcW w:w="720" w:type="dxa"/>
            <w:tcBorders>
              <w:top w:val="nil"/>
              <w:bottom w:val="single" w:sz="8" w:space="0" w:color="auto"/>
            </w:tcBorders>
            <w:shd w:val="clear" w:color="000000" w:fill="auto"/>
            <w:noWrap/>
            <w:vAlign w:val="bottom"/>
          </w:tcPr>
          <w:p w14:paraId="3D0FC488" w14:textId="77777777" w:rsidR="00EE6C42" w:rsidRPr="001A1A13" w:rsidRDefault="00EE6C42" w:rsidP="00353A4C">
            <w:pPr>
              <w:jc w:val="right"/>
              <w:rPr>
                <w:rFonts w:ascii="Palatino Linotype" w:hAnsi="Palatino Linotype" w:cs="Arial"/>
                <w:b/>
                <w:bCs/>
                <w:color w:val="000000"/>
                <w:sz w:val="22"/>
                <w:szCs w:val="22"/>
              </w:rPr>
            </w:pPr>
            <w:r>
              <w:rPr>
                <w:rFonts w:ascii="Palatino Linotype" w:hAnsi="Palatino Linotype" w:cs="Arial"/>
                <w:b/>
                <w:bCs/>
                <w:color w:val="000000"/>
                <w:sz w:val="22"/>
                <w:szCs w:val="22"/>
              </w:rPr>
              <w:t>36.8</w:t>
            </w:r>
          </w:p>
        </w:tc>
        <w:tc>
          <w:tcPr>
            <w:tcW w:w="696" w:type="dxa"/>
            <w:tcBorders>
              <w:top w:val="nil"/>
              <w:bottom w:val="single" w:sz="8" w:space="0" w:color="auto"/>
            </w:tcBorders>
            <w:shd w:val="clear" w:color="000000" w:fill="auto"/>
            <w:noWrap/>
            <w:vAlign w:val="bottom"/>
          </w:tcPr>
          <w:p w14:paraId="20F3697A" w14:textId="77777777" w:rsidR="00EE6C42" w:rsidRPr="001A1A13" w:rsidRDefault="00EE6C42" w:rsidP="00353A4C">
            <w:pPr>
              <w:jc w:val="right"/>
              <w:rPr>
                <w:rFonts w:ascii="Palatino Linotype" w:hAnsi="Palatino Linotype" w:cs="Arial"/>
                <w:b/>
                <w:bCs/>
                <w:sz w:val="22"/>
                <w:szCs w:val="22"/>
              </w:rPr>
            </w:pPr>
            <w:r>
              <w:rPr>
                <w:rFonts w:ascii="Palatino Linotype" w:hAnsi="Palatino Linotype" w:cs="Arial"/>
                <w:b/>
                <w:bCs/>
                <w:sz w:val="22"/>
                <w:szCs w:val="22"/>
              </w:rPr>
              <w:t>36.0</w:t>
            </w:r>
          </w:p>
        </w:tc>
      </w:tr>
    </w:tbl>
    <w:p w14:paraId="61E29765" w14:textId="77777777" w:rsidR="005A448D" w:rsidRPr="00E1715B" w:rsidRDefault="005A448D" w:rsidP="000B2682">
      <w:pPr>
        <w:spacing w:line="360" w:lineRule="auto"/>
        <w:contextualSpacing/>
        <w:rPr>
          <w:rFonts w:ascii="Palatino Linotype" w:eastAsia="Calibri" w:hAnsi="Palatino Linotype"/>
        </w:rPr>
      </w:pPr>
    </w:p>
    <w:p w14:paraId="5433C391" w14:textId="01798ADB" w:rsidR="00257B1C" w:rsidRDefault="00A3489F" w:rsidP="00267F43">
      <w:pPr>
        <w:spacing w:line="360" w:lineRule="auto"/>
        <w:ind w:firstLine="720"/>
        <w:contextualSpacing/>
        <w:jc w:val="both"/>
        <w:rPr>
          <w:rFonts w:ascii="Palatino Linotype" w:eastAsia="Calibri" w:hAnsi="Palatino Linotype"/>
        </w:rPr>
      </w:pPr>
      <w:r w:rsidRPr="00E1715B">
        <w:rPr>
          <w:rFonts w:ascii="Palatino Linotype" w:eastAsia="Calibri" w:hAnsi="Palatino Linotype"/>
        </w:rPr>
        <w:t xml:space="preserve"> We project that baseline emissions</w:t>
      </w:r>
      <w:r w:rsidR="00183A53" w:rsidRPr="00E1715B">
        <w:rPr>
          <w:rFonts w:ascii="Palatino Linotype" w:eastAsia="Calibri" w:hAnsi="Palatino Linotype"/>
        </w:rPr>
        <w:t xml:space="preserve"> subjected under TCI</w:t>
      </w:r>
      <w:r w:rsidRPr="00E1715B">
        <w:rPr>
          <w:rFonts w:ascii="Palatino Linotype" w:eastAsia="Calibri" w:hAnsi="Palatino Linotype"/>
        </w:rPr>
        <w:t xml:space="preserve"> will </w:t>
      </w:r>
      <w:r w:rsidR="0090028F" w:rsidRPr="00E1715B">
        <w:rPr>
          <w:rFonts w:ascii="Palatino Linotype" w:eastAsia="Calibri" w:hAnsi="Palatino Linotype"/>
        </w:rPr>
        <w:t>fall</w:t>
      </w:r>
      <w:r w:rsidRPr="00E1715B">
        <w:rPr>
          <w:rFonts w:ascii="Palatino Linotype" w:eastAsia="Calibri" w:hAnsi="Palatino Linotype"/>
        </w:rPr>
        <w:t xml:space="preserve"> to </w:t>
      </w:r>
      <w:r w:rsidR="00E1715B" w:rsidRPr="00E1715B">
        <w:rPr>
          <w:rFonts w:ascii="Palatino Linotype" w:eastAsia="Calibri" w:hAnsi="Palatino Linotype"/>
        </w:rPr>
        <w:t>39.</w:t>
      </w:r>
      <w:r w:rsidR="00E1715B">
        <w:rPr>
          <w:rFonts w:ascii="Palatino Linotype" w:eastAsia="Calibri" w:hAnsi="Palatino Linotype"/>
        </w:rPr>
        <w:t>9</w:t>
      </w:r>
      <w:r w:rsidRPr="00E1715B">
        <w:rPr>
          <w:rFonts w:ascii="Palatino Linotype" w:eastAsia="Calibri" w:hAnsi="Palatino Linotype"/>
        </w:rPr>
        <w:t xml:space="preserve"> MMTCO2E by 2022 and </w:t>
      </w:r>
      <w:r w:rsidR="0090028F" w:rsidRPr="00E1715B">
        <w:rPr>
          <w:rFonts w:ascii="Palatino Linotype" w:eastAsia="Calibri" w:hAnsi="Palatino Linotype"/>
        </w:rPr>
        <w:t>fall</w:t>
      </w:r>
      <w:r w:rsidR="007D3225" w:rsidRPr="00E1715B">
        <w:rPr>
          <w:rFonts w:ascii="Palatino Linotype" w:eastAsia="Calibri" w:hAnsi="Palatino Linotype"/>
        </w:rPr>
        <w:t xml:space="preserve"> </w:t>
      </w:r>
      <w:r w:rsidRPr="00E1715B">
        <w:rPr>
          <w:rFonts w:ascii="Palatino Linotype" w:eastAsia="Calibri" w:hAnsi="Palatino Linotype"/>
        </w:rPr>
        <w:t xml:space="preserve">to </w:t>
      </w:r>
      <w:r w:rsidR="00E1715B">
        <w:rPr>
          <w:rFonts w:ascii="Palatino Linotype" w:eastAsia="Calibri" w:hAnsi="Palatino Linotype"/>
        </w:rPr>
        <w:t>39.7</w:t>
      </w:r>
      <w:r w:rsidRPr="00E1715B">
        <w:rPr>
          <w:rFonts w:ascii="Palatino Linotype" w:eastAsia="Calibri" w:hAnsi="Palatino Linotype"/>
        </w:rPr>
        <w:t xml:space="preserve"> MMTCO2E by 2026. </w:t>
      </w:r>
      <w:r w:rsidR="008A6B2F" w:rsidRPr="008A118A">
        <w:rPr>
          <w:rFonts w:ascii="Palatino Linotype" w:eastAsia="Calibri" w:hAnsi="Palatino Linotype"/>
        </w:rPr>
        <w:t xml:space="preserve">Under </w:t>
      </w:r>
      <w:r w:rsidR="00183A53" w:rsidRPr="008A118A">
        <w:rPr>
          <w:rFonts w:ascii="Palatino Linotype" w:eastAsia="Calibri" w:hAnsi="Palatino Linotype"/>
        </w:rPr>
        <w:t xml:space="preserve">a 20 percent cap scenario, we project that emissions will fall to </w:t>
      </w:r>
      <w:r w:rsidR="008A118A" w:rsidRPr="008A118A">
        <w:rPr>
          <w:rFonts w:ascii="Palatino Linotype" w:eastAsia="Calibri" w:hAnsi="Palatino Linotype"/>
        </w:rPr>
        <w:t>39.3</w:t>
      </w:r>
      <w:r w:rsidR="00183A53" w:rsidRPr="008A118A">
        <w:rPr>
          <w:rFonts w:ascii="Palatino Linotype" w:eastAsia="Calibri" w:hAnsi="Palatino Linotype"/>
        </w:rPr>
        <w:t xml:space="preserve"> MMTCO2E in 2022 and to </w:t>
      </w:r>
      <w:r w:rsidR="00C57F7F">
        <w:rPr>
          <w:rFonts w:ascii="Palatino Linotype" w:eastAsia="Calibri" w:hAnsi="Palatino Linotype"/>
        </w:rPr>
        <w:t>3</w:t>
      </w:r>
      <w:r w:rsidR="008A118A">
        <w:rPr>
          <w:rFonts w:ascii="Palatino Linotype" w:eastAsia="Calibri" w:hAnsi="Palatino Linotype"/>
        </w:rPr>
        <w:t>7.2</w:t>
      </w:r>
      <w:r w:rsidR="00183A53" w:rsidRPr="008A118A">
        <w:rPr>
          <w:rFonts w:ascii="Palatino Linotype" w:eastAsia="Calibri" w:hAnsi="Palatino Linotype"/>
        </w:rPr>
        <w:t xml:space="preserve"> MMTCO2E by 2026. In a scenario whereby a 22</w:t>
      </w:r>
      <w:r w:rsidR="008A118A" w:rsidRPr="008A118A">
        <w:rPr>
          <w:rFonts w:ascii="Palatino Linotype" w:eastAsia="Calibri" w:hAnsi="Palatino Linotype"/>
        </w:rPr>
        <w:t>.5</w:t>
      </w:r>
      <w:r w:rsidR="00183A53" w:rsidRPr="008A118A">
        <w:rPr>
          <w:rFonts w:ascii="Palatino Linotype" w:eastAsia="Calibri" w:hAnsi="Palatino Linotype"/>
        </w:rPr>
        <w:t xml:space="preserve"> percent emissions cap is imposed, we project emissions to fall to </w:t>
      </w:r>
      <w:r w:rsidR="008A118A" w:rsidRPr="008A118A">
        <w:rPr>
          <w:rFonts w:ascii="Palatino Linotype" w:eastAsia="Calibri" w:hAnsi="Palatino Linotype"/>
        </w:rPr>
        <w:t>39.2</w:t>
      </w:r>
      <w:r w:rsidR="00183A53" w:rsidRPr="008A118A">
        <w:rPr>
          <w:rFonts w:ascii="Palatino Linotype" w:eastAsia="Calibri" w:hAnsi="Palatino Linotype"/>
        </w:rPr>
        <w:t xml:space="preserve"> MMTCO2E in 2022 and to</w:t>
      </w:r>
      <w:r w:rsidR="008A118A" w:rsidRPr="008A118A">
        <w:rPr>
          <w:rFonts w:ascii="Palatino Linotype" w:eastAsia="Calibri" w:hAnsi="Palatino Linotype"/>
        </w:rPr>
        <w:t xml:space="preserve"> 36.8</w:t>
      </w:r>
      <w:r w:rsidR="00183A53" w:rsidRPr="008A118A">
        <w:rPr>
          <w:rFonts w:ascii="Palatino Linotype" w:eastAsia="Calibri" w:hAnsi="Palatino Linotype"/>
        </w:rPr>
        <w:t xml:space="preserve"> MMTCO2E by 2026. </w:t>
      </w:r>
      <w:r w:rsidR="003C7937" w:rsidRPr="008A118A">
        <w:rPr>
          <w:rFonts w:ascii="Palatino Linotype" w:eastAsia="Calibri" w:hAnsi="Palatino Linotype"/>
        </w:rPr>
        <w:t>And in</w:t>
      </w:r>
      <w:r w:rsidR="00155D8A" w:rsidRPr="008A118A">
        <w:rPr>
          <w:rFonts w:ascii="Palatino Linotype" w:eastAsia="Calibri" w:hAnsi="Palatino Linotype"/>
        </w:rPr>
        <w:t xml:space="preserve"> the</w:t>
      </w:r>
      <w:r w:rsidR="003C7937" w:rsidRPr="008A118A">
        <w:rPr>
          <w:rFonts w:ascii="Palatino Linotype" w:eastAsia="Calibri" w:hAnsi="Palatino Linotype"/>
        </w:rPr>
        <w:t xml:space="preserve"> scenario where a 25 percent emissions cap</w:t>
      </w:r>
      <w:r w:rsidR="00155D8A" w:rsidRPr="008A118A">
        <w:rPr>
          <w:rFonts w:ascii="Palatino Linotype" w:eastAsia="Calibri" w:hAnsi="Palatino Linotype"/>
        </w:rPr>
        <w:t xml:space="preserve"> is set</w:t>
      </w:r>
      <w:r w:rsidR="003C7937" w:rsidRPr="008A118A">
        <w:rPr>
          <w:rFonts w:ascii="Palatino Linotype" w:eastAsia="Calibri" w:hAnsi="Palatino Linotype"/>
        </w:rPr>
        <w:t>,</w:t>
      </w:r>
      <w:r w:rsidR="00257B1C" w:rsidRPr="008A118A">
        <w:rPr>
          <w:rFonts w:ascii="Palatino Linotype" w:eastAsia="Calibri" w:hAnsi="Palatino Linotype"/>
        </w:rPr>
        <w:t xml:space="preserve"> we project emissions in 2022 would</w:t>
      </w:r>
      <w:r w:rsidR="008A118A" w:rsidRPr="008A118A">
        <w:rPr>
          <w:rFonts w:ascii="Palatino Linotype" w:eastAsia="Calibri" w:hAnsi="Palatino Linotype"/>
        </w:rPr>
        <w:t xml:space="preserve"> fall</w:t>
      </w:r>
      <w:r w:rsidR="00257B1C" w:rsidRPr="008A118A">
        <w:rPr>
          <w:rFonts w:ascii="Palatino Linotype" w:eastAsia="Calibri" w:hAnsi="Palatino Linotype"/>
        </w:rPr>
        <w:t xml:space="preserve"> </w:t>
      </w:r>
      <w:r w:rsidR="00155D8A" w:rsidRPr="008A118A">
        <w:rPr>
          <w:rFonts w:ascii="Palatino Linotype" w:eastAsia="Calibri" w:hAnsi="Palatino Linotype"/>
        </w:rPr>
        <w:t>to</w:t>
      </w:r>
      <w:r w:rsidR="00257B1C" w:rsidRPr="008A118A">
        <w:rPr>
          <w:rFonts w:ascii="Palatino Linotype" w:eastAsia="Calibri" w:hAnsi="Palatino Linotype"/>
        </w:rPr>
        <w:t xml:space="preserve"> </w:t>
      </w:r>
      <w:r w:rsidR="008A118A" w:rsidRPr="008A118A">
        <w:rPr>
          <w:rFonts w:ascii="Palatino Linotype" w:eastAsia="Calibri" w:hAnsi="Palatino Linotype"/>
        </w:rPr>
        <w:t>39.0</w:t>
      </w:r>
      <w:r w:rsidR="00257B1C" w:rsidRPr="008A118A">
        <w:rPr>
          <w:rFonts w:ascii="Palatino Linotype" w:eastAsia="Calibri" w:hAnsi="Palatino Linotype"/>
        </w:rPr>
        <w:t xml:space="preserve"> MMTCO2E and to </w:t>
      </w:r>
      <w:r w:rsidR="008A118A" w:rsidRPr="008A118A">
        <w:rPr>
          <w:rFonts w:ascii="Palatino Linotype" w:eastAsia="Calibri" w:hAnsi="Palatino Linotype"/>
        </w:rPr>
        <w:t>36.0</w:t>
      </w:r>
      <w:r w:rsidR="00257B1C" w:rsidRPr="008A118A">
        <w:rPr>
          <w:rFonts w:ascii="Palatino Linotype" w:eastAsia="Calibri" w:hAnsi="Palatino Linotype"/>
        </w:rPr>
        <w:t xml:space="preserve"> MMTCO2E by 2026.</w:t>
      </w:r>
      <w:r w:rsidR="00257B1C">
        <w:rPr>
          <w:rFonts w:ascii="Palatino Linotype" w:eastAsia="Calibri" w:hAnsi="Palatino Linotype"/>
        </w:rPr>
        <w:t xml:space="preserve"> </w:t>
      </w:r>
    </w:p>
    <w:p w14:paraId="2CDAF587" w14:textId="1210BF84" w:rsidR="00EA5536" w:rsidRPr="000A1323" w:rsidRDefault="00183A53" w:rsidP="005538D1">
      <w:pPr>
        <w:spacing w:line="360" w:lineRule="auto"/>
        <w:ind w:firstLine="720"/>
        <w:contextualSpacing/>
        <w:jc w:val="both"/>
        <w:rPr>
          <w:rFonts w:ascii="Palatino Linotype" w:eastAsia="Calibri" w:hAnsi="Palatino Linotype"/>
        </w:rPr>
      </w:pPr>
      <w:r>
        <w:rPr>
          <w:rFonts w:ascii="Palatino Linotype" w:eastAsia="Calibri" w:hAnsi="Palatino Linotype"/>
        </w:rPr>
        <w:t xml:space="preserve"> </w:t>
      </w:r>
      <w:r w:rsidR="00A3489F" w:rsidRPr="0090028F">
        <w:rPr>
          <w:rFonts w:ascii="Palatino Linotype" w:eastAsia="Calibri" w:hAnsi="Palatino Linotype"/>
        </w:rPr>
        <w:t xml:space="preserve"> </w:t>
      </w:r>
      <w:r w:rsidR="000A1323" w:rsidRPr="000A1323">
        <w:rPr>
          <w:rFonts w:ascii="Palatino Linotype" w:eastAsia="Calibri" w:hAnsi="Palatino Linotype"/>
        </w:rPr>
        <w:t>T</w:t>
      </w:r>
      <w:r w:rsidR="00A3489F" w:rsidRPr="000A1323">
        <w:rPr>
          <w:rFonts w:ascii="Palatino Linotype" w:eastAsia="Calibri" w:hAnsi="Palatino Linotype"/>
        </w:rPr>
        <w:t xml:space="preserve">he law of demand states that if the quantity </w:t>
      </w:r>
      <w:r w:rsidR="00AF13D7">
        <w:rPr>
          <w:rFonts w:ascii="Palatino Linotype" w:eastAsia="Calibri" w:hAnsi="Palatino Linotype"/>
        </w:rPr>
        <w:t>of a good supplied</w:t>
      </w:r>
      <w:r w:rsidR="008677DD">
        <w:rPr>
          <w:rFonts w:ascii="Palatino Linotype" w:eastAsia="Calibri" w:hAnsi="Palatino Linotype"/>
        </w:rPr>
        <w:t xml:space="preserve"> goes down</w:t>
      </w:r>
      <w:r w:rsidR="00A3489F" w:rsidRPr="000A1323">
        <w:rPr>
          <w:rFonts w:ascii="Palatino Linotype" w:eastAsia="Calibri" w:hAnsi="Palatino Linotype"/>
        </w:rPr>
        <w:t xml:space="preserve">, which </w:t>
      </w:r>
      <w:r w:rsidR="00633E34">
        <w:rPr>
          <w:rFonts w:ascii="Palatino Linotype" w:eastAsia="Calibri" w:hAnsi="Palatino Linotype"/>
        </w:rPr>
        <w:t>occurs under an</w:t>
      </w:r>
      <w:r w:rsidR="000A1323" w:rsidRPr="000A1323">
        <w:rPr>
          <w:rFonts w:ascii="Palatino Linotype" w:eastAsia="Calibri" w:hAnsi="Palatino Linotype"/>
        </w:rPr>
        <w:t xml:space="preserve"> emissions cap, then the price will </w:t>
      </w:r>
      <w:r w:rsidR="00633E34">
        <w:rPr>
          <w:rFonts w:ascii="Palatino Linotype" w:eastAsia="Calibri" w:hAnsi="Palatino Linotype"/>
        </w:rPr>
        <w:t>be driven up</w:t>
      </w:r>
      <w:r w:rsidR="00A3489F" w:rsidRPr="000A1323">
        <w:rPr>
          <w:rFonts w:ascii="Palatino Linotype" w:eastAsia="Calibri" w:hAnsi="Palatino Linotype"/>
        </w:rPr>
        <w:t xml:space="preserve">. </w:t>
      </w:r>
      <w:r w:rsidR="000A1323">
        <w:rPr>
          <w:rFonts w:ascii="Palatino Linotype" w:eastAsia="Calibri" w:hAnsi="Palatino Linotype"/>
        </w:rPr>
        <w:t xml:space="preserve">Therefore, as </w:t>
      </w:r>
      <w:r w:rsidR="007C20B3">
        <w:rPr>
          <w:rFonts w:ascii="Palatino Linotype" w:eastAsia="Calibri" w:hAnsi="Palatino Linotype"/>
        </w:rPr>
        <w:t xml:space="preserve">a </w:t>
      </w:r>
      <w:r w:rsidR="00633E34">
        <w:rPr>
          <w:rFonts w:ascii="Palatino Linotype" w:eastAsia="Calibri" w:hAnsi="Palatino Linotype"/>
        </w:rPr>
        <w:t>cap on</w:t>
      </w:r>
      <w:r w:rsidR="000A1323">
        <w:rPr>
          <w:rFonts w:ascii="Palatino Linotype" w:eastAsia="Calibri" w:hAnsi="Palatino Linotype"/>
        </w:rPr>
        <w:t xml:space="preserve"> emissions from the combustion </w:t>
      </w:r>
      <w:r w:rsidR="00633E34">
        <w:rPr>
          <w:rFonts w:ascii="Palatino Linotype" w:eastAsia="Calibri" w:hAnsi="Palatino Linotype"/>
        </w:rPr>
        <w:t>of</w:t>
      </w:r>
      <w:r w:rsidR="000A1323">
        <w:rPr>
          <w:rFonts w:ascii="Palatino Linotype" w:eastAsia="Calibri" w:hAnsi="Palatino Linotype"/>
        </w:rPr>
        <w:t xml:space="preserve"> finished gasoline and on-road diesel</w:t>
      </w:r>
      <w:r w:rsidR="00633E34">
        <w:rPr>
          <w:rFonts w:ascii="Palatino Linotype" w:eastAsia="Calibri" w:hAnsi="Palatino Linotype"/>
        </w:rPr>
        <w:t xml:space="preserve"> is enforced</w:t>
      </w:r>
      <w:r w:rsidR="000A1323">
        <w:rPr>
          <w:rFonts w:ascii="Palatino Linotype" w:eastAsia="Calibri" w:hAnsi="Palatino Linotype"/>
        </w:rPr>
        <w:t xml:space="preserve">, the prices of each product will increase. </w:t>
      </w:r>
      <w:r w:rsidR="00A3489F" w:rsidRPr="000A1323">
        <w:rPr>
          <w:rFonts w:ascii="Palatino Linotype" w:eastAsia="Calibri" w:hAnsi="Palatino Linotype"/>
        </w:rPr>
        <w:t xml:space="preserve"> </w:t>
      </w:r>
    </w:p>
    <w:p w14:paraId="6A4240A0" w14:textId="5DC5B4B4" w:rsidR="001A498D" w:rsidRPr="0056653D" w:rsidRDefault="00A3489F" w:rsidP="005538D1">
      <w:pPr>
        <w:spacing w:line="360" w:lineRule="auto"/>
        <w:ind w:firstLine="720"/>
        <w:contextualSpacing/>
        <w:jc w:val="both"/>
        <w:rPr>
          <w:rFonts w:ascii="Palatino Linotype" w:eastAsia="Calibri" w:hAnsi="Palatino Linotype"/>
          <w:highlight w:val="yellow"/>
        </w:rPr>
      </w:pPr>
      <w:r w:rsidRPr="000A0439">
        <w:rPr>
          <w:rFonts w:ascii="Palatino Linotype" w:eastAsia="Calibri" w:hAnsi="Palatino Linotype"/>
        </w:rPr>
        <w:t xml:space="preserve">We account for this by calculating the percentage </w:t>
      </w:r>
      <w:r w:rsidR="000F534E" w:rsidRPr="000A0439">
        <w:rPr>
          <w:rFonts w:ascii="Palatino Linotype" w:eastAsia="Calibri" w:hAnsi="Palatino Linotype"/>
        </w:rPr>
        <w:t>decrease</w:t>
      </w:r>
      <w:r w:rsidRPr="000A0439">
        <w:rPr>
          <w:rFonts w:ascii="Palatino Linotype" w:eastAsia="Calibri" w:hAnsi="Palatino Linotype"/>
        </w:rPr>
        <w:t xml:space="preserve"> in the </w:t>
      </w:r>
      <w:r w:rsidR="000F534E" w:rsidRPr="000A0439">
        <w:rPr>
          <w:rFonts w:ascii="Palatino Linotype" w:eastAsia="Calibri" w:hAnsi="Palatino Linotype"/>
        </w:rPr>
        <w:t>quantity</w:t>
      </w:r>
      <w:r w:rsidRPr="000A0439">
        <w:rPr>
          <w:rFonts w:ascii="Palatino Linotype" w:eastAsia="Calibri" w:hAnsi="Palatino Linotype"/>
        </w:rPr>
        <w:t xml:space="preserve"> of </w:t>
      </w:r>
      <w:r w:rsidR="000F534E" w:rsidRPr="000A0439">
        <w:rPr>
          <w:rFonts w:ascii="Palatino Linotype" w:eastAsia="Calibri" w:hAnsi="Palatino Linotype"/>
        </w:rPr>
        <w:t>both finished gasoline and on-road diesel</w:t>
      </w:r>
      <w:r w:rsidRPr="000A0439">
        <w:rPr>
          <w:rFonts w:ascii="Palatino Linotype" w:eastAsia="Calibri" w:hAnsi="Palatino Linotype"/>
        </w:rPr>
        <w:t xml:space="preserve">, calculating the responsiveness of each product to </w:t>
      </w:r>
      <w:r w:rsidR="007F2D0F">
        <w:rPr>
          <w:rFonts w:ascii="Palatino Linotype" w:eastAsia="Calibri" w:hAnsi="Palatino Linotype"/>
        </w:rPr>
        <w:t xml:space="preserve">changes </w:t>
      </w:r>
      <w:r w:rsidR="007C20B3">
        <w:rPr>
          <w:rFonts w:ascii="Palatino Linotype" w:eastAsia="Calibri" w:hAnsi="Palatino Linotype"/>
        </w:rPr>
        <w:t xml:space="preserve">in </w:t>
      </w:r>
      <w:r w:rsidR="000F534E" w:rsidRPr="000A0439">
        <w:rPr>
          <w:rFonts w:ascii="Palatino Linotype" w:eastAsia="Calibri" w:hAnsi="Palatino Linotype"/>
        </w:rPr>
        <w:t>quantity</w:t>
      </w:r>
      <w:r w:rsidR="00D6634E">
        <w:rPr>
          <w:rFonts w:ascii="Palatino Linotype" w:eastAsia="Calibri" w:hAnsi="Palatino Linotype"/>
        </w:rPr>
        <w:t>,</w:t>
      </w:r>
      <w:r w:rsidRPr="000A0439">
        <w:rPr>
          <w:rFonts w:ascii="Palatino Linotype" w:eastAsia="Calibri" w:hAnsi="Palatino Linotype"/>
        </w:rPr>
        <w:t xml:space="preserve"> and applying the resul</w:t>
      </w:r>
      <w:r w:rsidR="007F2D0F">
        <w:rPr>
          <w:rFonts w:ascii="Palatino Linotype" w:eastAsia="Calibri" w:hAnsi="Palatino Linotype"/>
        </w:rPr>
        <w:t>ting change in</w:t>
      </w:r>
      <w:r w:rsidR="000F534E" w:rsidRPr="000A0439">
        <w:rPr>
          <w:rFonts w:ascii="Palatino Linotype" w:eastAsia="Calibri" w:hAnsi="Palatino Linotype"/>
        </w:rPr>
        <w:t xml:space="preserve"> price</w:t>
      </w:r>
      <w:r w:rsidRPr="000A0439">
        <w:rPr>
          <w:rFonts w:ascii="Palatino Linotype" w:eastAsia="Calibri" w:hAnsi="Palatino Linotype"/>
        </w:rPr>
        <w:t xml:space="preserve"> </w:t>
      </w:r>
      <w:r w:rsidR="000F534E" w:rsidRPr="000A0439">
        <w:rPr>
          <w:rFonts w:ascii="Palatino Linotype" w:eastAsia="Calibri" w:hAnsi="Palatino Linotype"/>
        </w:rPr>
        <w:t>of</w:t>
      </w:r>
      <w:r w:rsidRPr="000A0439">
        <w:rPr>
          <w:rFonts w:ascii="Palatino Linotype" w:eastAsia="Calibri" w:hAnsi="Palatino Linotype"/>
        </w:rPr>
        <w:t xml:space="preserve"> each </w:t>
      </w:r>
      <w:r w:rsidR="000F534E" w:rsidRPr="000A0439">
        <w:rPr>
          <w:rFonts w:ascii="Palatino Linotype" w:eastAsia="Calibri" w:hAnsi="Palatino Linotype"/>
        </w:rPr>
        <w:t>product</w:t>
      </w:r>
      <w:r w:rsidR="00633E34">
        <w:rPr>
          <w:rFonts w:ascii="Palatino Linotype" w:eastAsia="Calibri" w:hAnsi="Palatino Linotype"/>
        </w:rPr>
        <w:t xml:space="preserve"> to </w:t>
      </w:r>
      <w:r w:rsidR="00E024A1">
        <w:rPr>
          <w:rFonts w:ascii="Palatino Linotype" w:eastAsia="Calibri" w:hAnsi="Palatino Linotype"/>
        </w:rPr>
        <w:t>project</w:t>
      </w:r>
      <w:r w:rsidR="00633E34">
        <w:rPr>
          <w:rFonts w:ascii="Palatino Linotype" w:eastAsia="Calibri" w:hAnsi="Palatino Linotype"/>
        </w:rPr>
        <w:t xml:space="preserve"> </w:t>
      </w:r>
      <w:r w:rsidR="00420EFA">
        <w:rPr>
          <w:rFonts w:ascii="Palatino Linotype" w:eastAsia="Calibri" w:hAnsi="Palatino Linotype"/>
        </w:rPr>
        <w:t xml:space="preserve">its </w:t>
      </w:r>
      <w:r w:rsidR="00633E34">
        <w:rPr>
          <w:rFonts w:ascii="Palatino Linotype" w:eastAsia="Calibri" w:hAnsi="Palatino Linotype"/>
        </w:rPr>
        <w:t>price for 2022</w:t>
      </w:r>
      <w:r w:rsidRPr="007F2D0F">
        <w:rPr>
          <w:rFonts w:ascii="Palatino Linotype" w:eastAsia="Calibri" w:hAnsi="Palatino Linotype"/>
        </w:rPr>
        <w:t>.  This allow</w:t>
      </w:r>
      <w:r w:rsidR="00BD27D1" w:rsidRPr="007F2D0F">
        <w:rPr>
          <w:rFonts w:ascii="Palatino Linotype" w:eastAsia="Calibri" w:hAnsi="Palatino Linotype"/>
        </w:rPr>
        <w:t xml:space="preserve">s </w:t>
      </w:r>
      <w:r w:rsidRPr="007F2D0F">
        <w:rPr>
          <w:rFonts w:ascii="Palatino Linotype" w:eastAsia="Calibri" w:hAnsi="Palatino Linotype"/>
        </w:rPr>
        <w:t xml:space="preserve">us to calculate the increase in the price of each product due to the </w:t>
      </w:r>
      <w:r w:rsidR="007F2D0F" w:rsidRPr="007F2D0F">
        <w:rPr>
          <w:rFonts w:ascii="Palatino Linotype" w:eastAsia="Calibri" w:hAnsi="Palatino Linotype"/>
        </w:rPr>
        <w:t xml:space="preserve">various emissions cap </w:t>
      </w:r>
      <w:r w:rsidR="007F2D0F" w:rsidRPr="008A491E">
        <w:rPr>
          <w:rFonts w:ascii="Palatino Linotype" w:eastAsia="Calibri" w:hAnsi="Palatino Linotype"/>
        </w:rPr>
        <w:t>scenarios</w:t>
      </w:r>
      <w:r w:rsidRPr="008A491E">
        <w:rPr>
          <w:rFonts w:ascii="Palatino Linotype" w:eastAsia="Calibri" w:hAnsi="Palatino Linotype"/>
        </w:rPr>
        <w:t>.</w:t>
      </w:r>
      <w:r w:rsidR="00B549CB" w:rsidRPr="008A491E">
        <w:rPr>
          <w:rFonts w:ascii="Palatino Linotype" w:eastAsia="Calibri" w:hAnsi="Palatino Linotype"/>
        </w:rPr>
        <w:t xml:space="preserve"> </w:t>
      </w:r>
      <w:r w:rsidRPr="008A491E">
        <w:rPr>
          <w:rFonts w:ascii="Palatino Linotype" w:eastAsia="Calibri" w:hAnsi="Palatino Linotype"/>
        </w:rPr>
        <w:t xml:space="preserve">The </w:t>
      </w:r>
      <w:r w:rsidR="000120C1" w:rsidRPr="008A491E">
        <w:rPr>
          <w:rFonts w:ascii="Palatino Linotype" w:eastAsia="Calibri" w:hAnsi="Palatino Linotype"/>
        </w:rPr>
        <w:t xml:space="preserve">Appendix </w:t>
      </w:r>
      <w:r w:rsidR="00AF13D7">
        <w:rPr>
          <w:rFonts w:ascii="Palatino Linotype" w:eastAsia="Calibri" w:hAnsi="Palatino Linotype"/>
        </w:rPr>
        <w:t>provides</w:t>
      </w:r>
      <w:r w:rsidRPr="008A491E">
        <w:rPr>
          <w:rFonts w:ascii="Palatino Linotype" w:eastAsia="Calibri" w:hAnsi="Palatino Linotype"/>
        </w:rPr>
        <w:t xml:space="preserve"> the details of these calculations.</w:t>
      </w:r>
      <w:r w:rsidR="00B549CB" w:rsidRPr="008A491E">
        <w:rPr>
          <w:rFonts w:ascii="Palatino Linotype" w:eastAsia="Calibri" w:hAnsi="Palatino Linotype"/>
        </w:rPr>
        <w:t xml:space="preserve">  </w:t>
      </w:r>
      <w:r w:rsidRPr="008A491E">
        <w:rPr>
          <w:rFonts w:ascii="Palatino Linotype" w:eastAsia="Calibri" w:hAnsi="Palatino Linotype"/>
        </w:rPr>
        <w:t xml:space="preserve">            </w:t>
      </w:r>
      <w:r w:rsidR="009A140F" w:rsidRPr="008A491E">
        <w:rPr>
          <w:rFonts w:ascii="Palatino Linotype" w:eastAsia="Calibri" w:hAnsi="Palatino Linotype"/>
        </w:rPr>
        <w:t xml:space="preserve">   </w:t>
      </w:r>
    </w:p>
    <w:p w14:paraId="2978AFC4" w14:textId="49E3EC00" w:rsidR="00BF1275" w:rsidRDefault="00A3489F" w:rsidP="005538D1">
      <w:pPr>
        <w:spacing w:line="360" w:lineRule="auto"/>
        <w:ind w:firstLine="720"/>
        <w:jc w:val="both"/>
        <w:rPr>
          <w:rFonts w:ascii="Palatino Linotype" w:hAnsi="Palatino Linotype"/>
          <w:noProof/>
          <w:szCs w:val="24"/>
        </w:rPr>
      </w:pPr>
      <w:r w:rsidRPr="008A491E">
        <w:rPr>
          <w:rFonts w:ascii="Palatino Linotype" w:hAnsi="Palatino Linotype"/>
          <w:noProof/>
          <w:szCs w:val="24"/>
        </w:rPr>
        <w:t>The</w:t>
      </w:r>
      <w:r w:rsidR="008A491E" w:rsidRPr="008A491E">
        <w:rPr>
          <w:rFonts w:ascii="Palatino Linotype" w:hAnsi="Palatino Linotype"/>
          <w:noProof/>
          <w:szCs w:val="24"/>
        </w:rPr>
        <w:t xml:space="preserve"> TCI emissions cap</w:t>
      </w:r>
      <w:r w:rsidRPr="008A491E">
        <w:rPr>
          <w:rFonts w:ascii="Palatino Linotype" w:hAnsi="Palatino Linotype"/>
          <w:noProof/>
          <w:szCs w:val="24"/>
        </w:rPr>
        <w:t xml:space="preserve"> would apply</w:t>
      </w:r>
      <w:r w:rsidR="000E2A59">
        <w:rPr>
          <w:rFonts w:ascii="Palatino Linotype" w:hAnsi="Palatino Linotype"/>
          <w:noProof/>
          <w:szCs w:val="24"/>
        </w:rPr>
        <w:t xml:space="preserve"> </w:t>
      </w:r>
      <w:r w:rsidRPr="008A491E">
        <w:rPr>
          <w:rFonts w:ascii="Palatino Linotype" w:hAnsi="Palatino Linotype"/>
          <w:noProof/>
          <w:szCs w:val="24"/>
        </w:rPr>
        <w:t>to</w:t>
      </w:r>
      <w:r w:rsidR="008A491E" w:rsidRPr="008A491E">
        <w:rPr>
          <w:rFonts w:ascii="Palatino Linotype" w:hAnsi="Palatino Linotype"/>
          <w:noProof/>
          <w:szCs w:val="24"/>
        </w:rPr>
        <w:t xml:space="preserve"> </w:t>
      </w:r>
      <w:r w:rsidR="00AF38EC">
        <w:rPr>
          <w:rFonts w:ascii="Palatino Linotype" w:hAnsi="Palatino Linotype"/>
          <w:noProof/>
          <w:szCs w:val="24"/>
        </w:rPr>
        <w:t>Virginia</w:t>
      </w:r>
      <w:r w:rsidR="00063782">
        <w:rPr>
          <w:rFonts w:ascii="Palatino Linotype" w:hAnsi="Palatino Linotype"/>
          <w:noProof/>
          <w:szCs w:val="24"/>
        </w:rPr>
        <w:t xml:space="preserve"> </w:t>
      </w:r>
      <w:r w:rsidR="008A491E" w:rsidRPr="008A491E">
        <w:rPr>
          <w:rFonts w:ascii="Palatino Linotype" w:hAnsi="Palatino Linotype"/>
          <w:noProof/>
          <w:szCs w:val="24"/>
        </w:rPr>
        <w:t>emissions from the combustion of</w:t>
      </w:r>
      <w:r w:rsidRPr="008A491E">
        <w:rPr>
          <w:rFonts w:ascii="Palatino Linotype" w:hAnsi="Palatino Linotype"/>
          <w:noProof/>
          <w:szCs w:val="24"/>
        </w:rPr>
        <w:t xml:space="preserve"> </w:t>
      </w:r>
      <w:r w:rsidR="008A491E" w:rsidRPr="008A491E">
        <w:rPr>
          <w:rFonts w:ascii="Palatino Linotype" w:hAnsi="Palatino Linotype"/>
          <w:noProof/>
          <w:szCs w:val="24"/>
        </w:rPr>
        <w:t>gasoline and on-road diesel</w:t>
      </w:r>
      <w:r w:rsidR="000E2A59">
        <w:rPr>
          <w:rFonts w:ascii="Palatino Linotype" w:hAnsi="Palatino Linotype"/>
          <w:noProof/>
          <w:szCs w:val="24"/>
        </w:rPr>
        <w:t xml:space="preserve"> destined for final sale</w:t>
      </w:r>
      <w:r w:rsidRPr="008A491E">
        <w:rPr>
          <w:rFonts w:ascii="Palatino Linotype" w:hAnsi="Palatino Linotype"/>
          <w:noProof/>
          <w:szCs w:val="24"/>
        </w:rPr>
        <w:t xml:space="preserve">.  </w:t>
      </w:r>
      <w:r w:rsidR="008A491E" w:rsidRPr="008A491E">
        <w:rPr>
          <w:rFonts w:ascii="Palatino Linotype" w:hAnsi="Palatino Linotype"/>
          <w:noProof/>
          <w:szCs w:val="24"/>
        </w:rPr>
        <w:t>Both</w:t>
      </w:r>
      <w:r w:rsidRPr="008A491E">
        <w:rPr>
          <w:rFonts w:ascii="Palatino Linotype" w:hAnsi="Palatino Linotype"/>
          <w:noProof/>
          <w:szCs w:val="24"/>
        </w:rPr>
        <w:t xml:space="preserve"> products have very low </w:t>
      </w:r>
      <w:r w:rsidR="00BD27D1" w:rsidRPr="008A491E">
        <w:rPr>
          <w:rFonts w:ascii="Palatino Linotype" w:hAnsi="Palatino Linotype"/>
          <w:noProof/>
          <w:szCs w:val="24"/>
        </w:rPr>
        <w:lastRenderedPageBreak/>
        <w:t>responses</w:t>
      </w:r>
      <w:r w:rsidRPr="008A491E">
        <w:rPr>
          <w:rFonts w:ascii="Palatino Linotype" w:hAnsi="Palatino Linotype"/>
          <w:noProof/>
          <w:szCs w:val="24"/>
        </w:rPr>
        <w:t>, or elasticities, to changes</w:t>
      </w:r>
      <w:r w:rsidR="008A491E" w:rsidRPr="008A491E">
        <w:rPr>
          <w:rFonts w:ascii="Palatino Linotype" w:hAnsi="Palatino Linotype"/>
          <w:noProof/>
          <w:szCs w:val="24"/>
        </w:rPr>
        <w:t xml:space="preserve"> in </w:t>
      </w:r>
      <w:r w:rsidR="008677DD">
        <w:rPr>
          <w:rFonts w:ascii="Palatino Linotype" w:hAnsi="Palatino Linotype"/>
          <w:noProof/>
          <w:szCs w:val="24"/>
        </w:rPr>
        <w:t>quantity</w:t>
      </w:r>
      <w:r w:rsidRPr="008A491E">
        <w:rPr>
          <w:rFonts w:ascii="Palatino Linotype" w:hAnsi="Palatino Linotype"/>
          <w:noProof/>
          <w:szCs w:val="24"/>
        </w:rPr>
        <w:t xml:space="preserve">. As a result, </w:t>
      </w:r>
      <w:r w:rsidR="005E7785" w:rsidRPr="008A491E">
        <w:rPr>
          <w:rFonts w:ascii="Palatino Linotype" w:hAnsi="Palatino Linotype"/>
          <w:noProof/>
          <w:szCs w:val="24"/>
        </w:rPr>
        <w:t xml:space="preserve">the proposed </w:t>
      </w:r>
      <w:r w:rsidR="008A491E" w:rsidRPr="008A491E">
        <w:rPr>
          <w:rFonts w:ascii="Palatino Linotype" w:hAnsi="Palatino Linotype"/>
          <w:noProof/>
          <w:szCs w:val="24"/>
        </w:rPr>
        <w:t>emissions cap scenarios</w:t>
      </w:r>
      <w:r w:rsidR="005E7785" w:rsidRPr="008A491E">
        <w:rPr>
          <w:rFonts w:ascii="Palatino Linotype" w:hAnsi="Palatino Linotype"/>
          <w:noProof/>
          <w:szCs w:val="24"/>
        </w:rPr>
        <w:t xml:space="preserve"> would have a </w:t>
      </w:r>
      <w:r w:rsidR="008A491E" w:rsidRPr="008A491E">
        <w:rPr>
          <w:rFonts w:ascii="Palatino Linotype" w:hAnsi="Palatino Linotype"/>
          <w:noProof/>
          <w:szCs w:val="24"/>
        </w:rPr>
        <w:t xml:space="preserve">significant impact on prices in </w:t>
      </w:r>
      <w:r w:rsidR="00AF38EC">
        <w:rPr>
          <w:rFonts w:ascii="Palatino Linotype" w:hAnsi="Palatino Linotype"/>
          <w:noProof/>
          <w:szCs w:val="24"/>
        </w:rPr>
        <w:t>Virginia</w:t>
      </w:r>
      <w:r w:rsidR="0025676E">
        <w:rPr>
          <w:rFonts w:ascii="Palatino Linotype" w:hAnsi="Palatino Linotype"/>
          <w:noProof/>
          <w:szCs w:val="24"/>
        </w:rPr>
        <w:t xml:space="preserve">. </w:t>
      </w:r>
    </w:p>
    <w:p w14:paraId="31EC59E0" w14:textId="0DF0CABD" w:rsidR="008C62B7" w:rsidRDefault="0025676E" w:rsidP="005538D1">
      <w:pPr>
        <w:spacing w:line="360" w:lineRule="auto"/>
        <w:ind w:firstLine="720"/>
        <w:jc w:val="both"/>
        <w:rPr>
          <w:rFonts w:ascii="Palatino Linotype" w:hAnsi="Palatino Linotype"/>
          <w:noProof/>
          <w:szCs w:val="24"/>
        </w:rPr>
      </w:pPr>
      <w:r w:rsidRPr="00BE0A87">
        <w:rPr>
          <w:rFonts w:ascii="Palatino Linotype" w:hAnsi="Palatino Linotype"/>
          <w:noProof/>
          <w:szCs w:val="24"/>
        </w:rPr>
        <w:t xml:space="preserve">In the 20 percent emissions cap scenario, the price of finished gasoline would increase by </w:t>
      </w:r>
      <w:r w:rsidR="00BE0A87" w:rsidRPr="00BE0A87">
        <w:rPr>
          <w:rFonts w:ascii="Palatino Linotype" w:hAnsi="Palatino Linotype"/>
          <w:noProof/>
          <w:szCs w:val="24"/>
        </w:rPr>
        <w:t>23</w:t>
      </w:r>
      <w:r w:rsidRPr="00BE0A87">
        <w:rPr>
          <w:rFonts w:ascii="Palatino Linotype" w:hAnsi="Palatino Linotype"/>
          <w:noProof/>
          <w:szCs w:val="24"/>
        </w:rPr>
        <w:t xml:space="preserve"> cents per gallon and the price of on-road diesel by </w:t>
      </w:r>
      <w:r w:rsidR="00BE0A87" w:rsidRPr="00BE0A87">
        <w:rPr>
          <w:rFonts w:ascii="Palatino Linotype" w:hAnsi="Palatino Linotype"/>
          <w:noProof/>
          <w:szCs w:val="24"/>
        </w:rPr>
        <w:t>19</w:t>
      </w:r>
      <w:r w:rsidRPr="00BE0A87">
        <w:rPr>
          <w:rFonts w:ascii="Palatino Linotype" w:hAnsi="Palatino Linotype"/>
          <w:noProof/>
          <w:szCs w:val="24"/>
        </w:rPr>
        <w:t xml:space="preserve"> cents per gallon. If a 22</w:t>
      </w:r>
      <w:r w:rsidR="002A6037">
        <w:rPr>
          <w:rFonts w:ascii="Palatino Linotype" w:hAnsi="Palatino Linotype"/>
          <w:noProof/>
          <w:szCs w:val="24"/>
        </w:rPr>
        <w:t>.5</w:t>
      </w:r>
      <w:r w:rsidRPr="00BE0A87">
        <w:rPr>
          <w:rFonts w:ascii="Palatino Linotype" w:hAnsi="Palatino Linotype"/>
          <w:noProof/>
          <w:szCs w:val="24"/>
        </w:rPr>
        <w:t xml:space="preserve"> percent emissions cap were imposed,</w:t>
      </w:r>
      <w:r w:rsidR="005E7785" w:rsidRPr="00BE0A87">
        <w:rPr>
          <w:rFonts w:ascii="Palatino Linotype" w:hAnsi="Palatino Linotype"/>
          <w:noProof/>
          <w:szCs w:val="24"/>
        </w:rPr>
        <w:t xml:space="preserve"> </w:t>
      </w:r>
      <w:r w:rsidRPr="00BE0A87">
        <w:rPr>
          <w:rFonts w:ascii="Palatino Linotype" w:hAnsi="Palatino Linotype"/>
          <w:noProof/>
          <w:szCs w:val="24"/>
        </w:rPr>
        <w:t>the price of finished gasoline would increase by 2</w:t>
      </w:r>
      <w:r w:rsidR="00BE0A87" w:rsidRPr="00BE0A87">
        <w:rPr>
          <w:rFonts w:ascii="Palatino Linotype" w:hAnsi="Palatino Linotype"/>
          <w:noProof/>
          <w:szCs w:val="24"/>
        </w:rPr>
        <w:t xml:space="preserve">7 </w:t>
      </w:r>
      <w:r w:rsidRPr="00BE0A87">
        <w:rPr>
          <w:rFonts w:ascii="Palatino Linotype" w:hAnsi="Palatino Linotype"/>
          <w:noProof/>
          <w:szCs w:val="24"/>
        </w:rPr>
        <w:t xml:space="preserve">cents per gallon and the price of on-road diesel by </w:t>
      </w:r>
      <w:r w:rsidR="00BE0A87" w:rsidRPr="00BE0A87">
        <w:rPr>
          <w:rFonts w:ascii="Palatino Linotype" w:hAnsi="Palatino Linotype"/>
          <w:noProof/>
          <w:szCs w:val="24"/>
        </w:rPr>
        <w:t>23</w:t>
      </w:r>
      <w:r w:rsidRPr="00BE0A87">
        <w:rPr>
          <w:rFonts w:ascii="Palatino Linotype" w:hAnsi="Palatino Linotype"/>
          <w:noProof/>
          <w:szCs w:val="24"/>
        </w:rPr>
        <w:t xml:space="preserve"> cents per gallon. And in a scenario whereby a 25 percent emissions cap is </w:t>
      </w:r>
      <w:r w:rsidR="000E2A59" w:rsidRPr="00BE0A87">
        <w:rPr>
          <w:rFonts w:ascii="Palatino Linotype" w:hAnsi="Palatino Linotype"/>
          <w:noProof/>
          <w:szCs w:val="24"/>
        </w:rPr>
        <w:t>enforced</w:t>
      </w:r>
      <w:r w:rsidRPr="00BE0A87">
        <w:rPr>
          <w:rFonts w:ascii="Palatino Linotype" w:hAnsi="Palatino Linotype"/>
          <w:noProof/>
          <w:szCs w:val="24"/>
        </w:rPr>
        <w:t xml:space="preserve">, the price of finished gasoline would increase by </w:t>
      </w:r>
      <w:r w:rsidR="00BE0A87" w:rsidRPr="00BE0A87">
        <w:rPr>
          <w:rFonts w:ascii="Palatino Linotype" w:hAnsi="Palatino Linotype"/>
          <w:noProof/>
          <w:szCs w:val="24"/>
        </w:rPr>
        <w:t xml:space="preserve">33 </w:t>
      </w:r>
      <w:r w:rsidRPr="00BE0A87">
        <w:rPr>
          <w:rFonts w:ascii="Palatino Linotype" w:hAnsi="Palatino Linotype"/>
          <w:noProof/>
          <w:szCs w:val="24"/>
        </w:rPr>
        <w:t xml:space="preserve">cents per gallon and the price of on-road diesel by </w:t>
      </w:r>
      <w:r w:rsidR="00BE0A87" w:rsidRPr="00BE0A87">
        <w:rPr>
          <w:rFonts w:ascii="Palatino Linotype" w:hAnsi="Palatino Linotype"/>
          <w:noProof/>
          <w:szCs w:val="24"/>
        </w:rPr>
        <w:t>28</w:t>
      </w:r>
      <w:r w:rsidRPr="00BE0A87">
        <w:rPr>
          <w:rFonts w:ascii="Palatino Linotype" w:hAnsi="Palatino Linotype"/>
          <w:noProof/>
          <w:szCs w:val="24"/>
        </w:rPr>
        <w:t xml:space="preserve"> cents per gallon.</w:t>
      </w:r>
      <w:r>
        <w:rPr>
          <w:rFonts w:ascii="Palatino Linotype" w:hAnsi="Palatino Linotype"/>
          <w:noProof/>
          <w:szCs w:val="24"/>
        </w:rPr>
        <w:t xml:space="preserve"> </w:t>
      </w:r>
      <w:r w:rsidR="00A3489F" w:rsidRPr="008A491E">
        <w:rPr>
          <w:rFonts w:ascii="Palatino Linotype" w:hAnsi="Palatino Linotype"/>
          <w:noProof/>
          <w:szCs w:val="24"/>
        </w:rPr>
        <w:t xml:space="preserve">  </w:t>
      </w:r>
    </w:p>
    <w:p w14:paraId="5340BA5E" w14:textId="3493E18E" w:rsidR="008C62B7" w:rsidRPr="001C0DD9" w:rsidRDefault="008C62B7" w:rsidP="005538D1">
      <w:pPr>
        <w:spacing w:line="360" w:lineRule="auto"/>
        <w:ind w:firstLine="720"/>
        <w:jc w:val="both"/>
        <w:rPr>
          <w:rFonts w:ascii="Palatino Linotype" w:hAnsi="Palatino Linotype"/>
          <w:noProof/>
          <w:szCs w:val="24"/>
        </w:rPr>
      </w:pPr>
      <w:r w:rsidRPr="001C0DD9">
        <w:rPr>
          <w:rFonts w:ascii="Palatino Linotype" w:hAnsi="Palatino Linotype"/>
          <w:noProof/>
          <w:szCs w:val="24"/>
        </w:rPr>
        <w:t>To analyze the economic and global temperature effects of greenhouse gas (GHG) emission reduction policies, BHI utilized the 2017 Dynamic Integrated model of Climate and the Economy (DICE).</w:t>
      </w:r>
      <w:r w:rsidR="00F7229F">
        <w:rPr>
          <w:rStyle w:val="FootnoteReference"/>
          <w:rFonts w:ascii="Palatino Linotype" w:hAnsi="Palatino Linotype"/>
          <w:noProof/>
          <w:szCs w:val="24"/>
        </w:rPr>
        <w:footnoteReference w:customMarkFollows="1" w:id="43"/>
        <w:t>42</w:t>
      </w:r>
      <w:r w:rsidRPr="001C0DD9">
        <w:rPr>
          <w:rFonts w:ascii="Palatino Linotype" w:hAnsi="Palatino Linotype"/>
          <w:noProof/>
          <w:szCs w:val="24"/>
        </w:rPr>
        <w:t xml:space="preserve">  As the name of the model indicates, the </w:t>
      </w:r>
      <w:r w:rsidR="00AF13D7">
        <w:rPr>
          <w:rFonts w:ascii="Palatino Linotype" w:hAnsi="Palatino Linotype"/>
          <w:noProof/>
          <w:szCs w:val="24"/>
        </w:rPr>
        <w:t>“</w:t>
      </w:r>
      <w:r w:rsidRPr="001C0DD9">
        <w:rPr>
          <w:rFonts w:ascii="Palatino Linotype" w:hAnsi="Palatino Linotype"/>
          <w:noProof/>
          <w:szCs w:val="24"/>
        </w:rPr>
        <w:t>DICE</w:t>
      </w:r>
      <w:r w:rsidR="00AF13D7">
        <w:rPr>
          <w:rFonts w:ascii="Palatino Linotype" w:hAnsi="Palatino Linotype"/>
          <w:noProof/>
          <w:szCs w:val="24"/>
        </w:rPr>
        <w:t xml:space="preserve">” </w:t>
      </w:r>
      <w:r w:rsidRPr="001C0DD9">
        <w:rPr>
          <w:rFonts w:ascii="Palatino Linotype" w:hAnsi="Palatino Linotype"/>
          <w:noProof/>
          <w:szCs w:val="24"/>
        </w:rPr>
        <w:t>2017 model integrates an economic model with a climate model.  A thorough description of the DICE 2017 model, as well as results related to different policy guidelines, like the Kyoto Protocol or the Stern Review, is available in Nordhaus (2008).</w:t>
      </w:r>
      <w:r w:rsidR="00F7229F">
        <w:rPr>
          <w:rStyle w:val="FootnoteReference"/>
          <w:rFonts w:ascii="Palatino Linotype" w:hAnsi="Palatino Linotype"/>
          <w:noProof/>
          <w:szCs w:val="24"/>
        </w:rPr>
        <w:footnoteReference w:customMarkFollows="1" w:id="44"/>
        <w:t>43</w:t>
      </w:r>
      <w:r w:rsidRPr="001C0DD9">
        <w:rPr>
          <w:rFonts w:ascii="Palatino Linotype" w:hAnsi="Palatino Linotype"/>
          <w:noProof/>
          <w:szCs w:val="24"/>
        </w:rPr>
        <w:t xml:space="preserve">  We use the DICE 2017 model to calculate the optimal social cost of </w:t>
      </w:r>
      <w:r>
        <w:rPr>
          <w:rFonts w:ascii="Palatino Linotype" w:hAnsi="Palatino Linotype"/>
          <w:noProof/>
          <w:szCs w:val="24"/>
        </w:rPr>
        <w:t>CO2E</w:t>
      </w:r>
      <w:r w:rsidRPr="001C0DD9">
        <w:rPr>
          <w:rFonts w:ascii="Palatino Linotype" w:hAnsi="Palatino Linotype"/>
          <w:noProof/>
          <w:szCs w:val="24"/>
        </w:rPr>
        <w:t xml:space="preserve"> and, in turn, the social benefits of carbon reductions resulting from the</w:t>
      </w:r>
      <w:r>
        <w:rPr>
          <w:rFonts w:ascii="Palatino Linotype" w:hAnsi="Palatino Linotype"/>
          <w:noProof/>
          <w:szCs w:val="24"/>
        </w:rPr>
        <w:t xml:space="preserve"> various emissions cap scenarios laid out in the TCI</w:t>
      </w:r>
      <w:r w:rsidR="000E2A59">
        <w:rPr>
          <w:rFonts w:ascii="Palatino Linotype" w:hAnsi="Palatino Linotype"/>
          <w:noProof/>
          <w:szCs w:val="24"/>
        </w:rPr>
        <w:t xml:space="preserve"> modeling</w:t>
      </w:r>
      <w:r w:rsidRPr="001C0DD9">
        <w:rPr>
          <w:rFonts w:ascii="Palatino Linotype" w:hAnsi="Palatino Linotype"/>
          <w:noProof/>
          <w:szCs w:val="24"/>
        </w:rPr>
        <w:t xml:space="preserve">.  </w:t>
      </w:r>
    </w:p>
    <w:p w14:paraId="6212F825" w14:textId="77777777" w:rsidR="00AD1A6C" w:rsidRDefault="008C62B7" w:rsidP="00AD1A6C">
      <w:pPr>
        <w:spacing w:line="360" w:lineRule="auto"/>
        <w:ind w:firstLine="720"/>
        <w:jc w:val="both"/>
        <w:rPr>
          <w:rFonts w:ascii="Palatino Linotype" w:hAnsi="Palatino Linotype"/>
          <w:noProof/>
          <w:szCs w:val="24"/>
        </w:rPr>
      </w:pPr>
      <w:r w:rsidRPr="00B45B4B">
        <w:rPr>
          <w:rFonts w:ascii="Palatino Linotype" w:hAnsi="Palatino Linotype"/>
          <w:noProof/>
          <w:szCs w:val="24"/>
        </w:rPr>
        <w:t xml:space="preserve">BHI used the DICE model to calculate the optimal social cost of </w:t>
      </w:r>
      <w:r>
        <w:rPr>
          <w:rFonts w:ascii="Palatino Linotype" w:hAnsi="Palatino Linotype"/>
          <w:noProof/>
          <w:szCs w:val="24"/>
        </w:rPr>
        <w:t>CO2E</w:t>
      </w:r>
      <w:r w:rsidRPr="00B45B4B">
        <w:rPr>
          <w:rFonts w:ascii="Palatino Linotype" w:hAnsi="Palatino Linotype"/>
          <w:noProof/>
          <w:szCs w:val="24"/>
        </w:rPr>
        <w:t xml:space="preserve"> for each year of our analysis.  We applied the social cost of carbon from the DICE model to our estimate of the reduction in CO2E </w:t>
      </w:r>
      <w:r w:rsidR="000E2A59">
        <w:rPr>
          <w:rFonts w:ascii="Palatino Linotype" w:hAnsi="Palatino Linotype"/>
          <w:noProof/>
          <w:szCs w:val="24"/>
        </w:rPr>
        <w:t>resulting from the different emissions cap scenarios</w:t>
      </w:r>
      <w:r w:rsidRPr="00B45B4B">
        <w:rPr>
          <w:rFonts w:ascii="Palatino Linotype" w:hAnsi="Palatino Linotype"/>
          <w:noProof/>
          <w:szCs w:val="24"/>
        </w:rPr>
        <w:t xml:space="preserve">. </w:t>
      </w:r>
    </w:p>
    <w:p w14:paraId="49D9DAD0" w14:textId="47E19697" w:rsidR="00903156" w:rsidRDefault="000E2A59" w:rsidP="008C62B7">
      <w:pPr>
        <w:spacing w:line="360" w:lineRule="auto"/>
        <w:ind w:firstLine="720"/>
        <w:jc w:val="both"/>
        <w:rPr>
          <w:rFonts w:ascii="Palatino Linotype" w:hAnsi="Palatino Linotype"/>
          <w:noProof/>
          <w:szCs w:val="24"/>
        </w:rPr>
      </w:pPr>
      <w:r w:rsidRPr="008A118A">
        <w:rPr>
          <w:rFonts w:ascii="Palatino Linotype" w:hAnsi="Palatino Linotype"/>
          <w:noProof/>
          <w:szCs w:val="24"/>
        </w:rPr>
        <w:lastRenderedPageBreak/>
        <w:t>I</w:t>
      </w:r>
      <w:r w:rsidR="008C62B7" w:rsidRPr="008A118A">
        <w:rPr>
          <w:rFonts w:ascii="Palatino Linotype" w:hAnsi="Palatino Linotype"/>
          <w:noProof/>
          <w:szCs w:val="24"/>
        </w:rPr>
        <w:t xml:space="preserve">f </w:t>
      </w:r>
      <w:r w:rsidR="00AF38EC" w:rsidRPr="008A118A">
        <w:rPr>
          <w:rFonts w:ascii="Palatino Linotype" w:hAnsi="Palatino Linotype"/>
          <w:noProof/>
          <w:szCs w:val="24"/>
        </w:rPr>
        <w:t>Virginia</w:t>
      </w:r>
      <w:r w:rsidR="00063782" w:rsidRPr="008A118A">
        <w:rPr>
          <w:rFonts w:ascii="Palatino Linotype" w:hAnsi="Palatino Linotype"/>
          <w:noProof/>
          <w:szCs w:val="24"/>
        </w:rPr>
        <w:t xml:space="preserve"> </w:t>
      </w:r>
      <w:r w:rsidR="008C62B7" w:rsidRPr="008A118A">
        <w:rPr>
          <w:rFonts w:ascii="Palatino Linotype" w:hAnsi="Palatino Linotype"/>
          <w:noProof/>
          <w:szCs w:val="24"/>
        </w:rPr>
        <w:t xml:space="preserve">participated in TCI, </w:t>
      </w:r>
      <w:r w:rsidRPr="008A118A">
        <w:rPr>
          <w:rFonts w:ascii="Palatino Linotype" w:hAnsi="Palatino Linotype"/>
          <w:noProof/>
          <w:szCs w:val="24"/>
        </w:rPr>
        <w:t xml:space="preserve">BHI projects </w:t>
      </w:r>
      <w:r w:rsidR="00016CC6">
        <w:rPr>
          <w:rFonts w:ascii="Palatino Linotype" w:hAnsi="Palatino Linotype"/>
          <w:noProof/>
          <w:szCs w:val="24"/>
        </w:rPr>
        <w:t xml:space="preserve">that </w:t>
      </w:r>
      <w:r w:rsidR="008C62B7" w:rsidRPr="008A118A">
        <w:rPr>
          <w:rFonts w:ascii="Palatino Linotype" w:hAnsi="Palatino Linotype"/>
          <w:noProof/>
          <w:szCs w:val="24"/>
        </w:rPr>
        <w:t>emissions would be reduced by .</w:t>
      </w:r>
      <w:r w:rsidR="008A118A" w:rsidRPr="008A118A">
        <w:rPr>
          <w:rFonts w:ascii="Palatino Linotype" w:hAnsi="Palatino Linotype"/>
          <w:noProof/>
          <w:szCs w:val="24"/>
        </w:rPr>
        <w:t>549</w:t>
      </w:r>
      <w:r w:rsidR="008C62B7" w:rsidRPr="008A118A">
        <w:rPr>
          <w:rFonts w:ascii="Palatino Linotype" w:hAnsi="Palatino Linotype"/>
          <w:noProof/>
          <w:szCs w:val="24"/>
        </w:rPr>
        <w:t xml:space="preserve"> MMT of CO2E by 2022 and .</w:t>
      </w:r>
      <w:r w:rsidR="008A118A" w:rsidRPr="008A118A">
        <w:rPr>
          <w:rFonts w:ascii="Palatino Linotype" w:hAnsi="Palatino Linotype"/>
          <w:noProof/>
          <w:szCs w:val="24"/>
        </w:rPr>
        <w:t>519</w:t>
      </w:r>
      <w:r w:rsidR="008C62B7" w:rsidRPr="008A118A">
        <w:rPr>
          <w:rFonts w:ascii="Palatino Linotype" w:hAnsi="Palatino Linotype"/>
          <w:noProof/>
          <w:szCs w:val="24"/>
        </w:rPr>
        <w:t xml:space="preserve"> MMT of CO2E by 2026 in a 20 percent emissions cap scena</w:t>
      </w:r>
      <w:r w:rsidR="008C62B7" w:rsidRPr="00C851C8">
        <w:rPr>
          <w:rFonts w:ascii="Palatino Linotype" w:hAnsi="Palatino Linotype"/>
          <w:noProof/>
          <w:szCs w:val="24"/>
        </w:rPr>
        <w:t>rio</w:t>
      </w:r>
      <w:r w:rsidRPr="00C851C8">
        <w:rPr>
          <w:rFonts w:ascii="Palatino Linotype" w:hAnsi="Palatino Linotype"/>
          <w:noProof/>
          <w:szCs w:val="24"/>
        </w:rPr>
        <w:t>. In a 22</w:t>
      </w:r>
      <w:r w:rsidR="00C851C8">
        <w:rPr>
          <w:rFonts w:ascii="Palatino Linotype" w:hAnsi="Palatino Linotype"/>
          <w:noProof/>
          <w:szCs w:val="24"/>
        </w:rPr>
        <w:t>.5</w:t>
      </w:r>
      <w:r w:rsidRPr="00C851C8">
        <w:rPr>
          <w:rFonts w:ascii="Palatino Linotype" w:hAnsi="Palatino Linotype"/>
          <w:noProof/>
          <w:szCs w:val="24"/>
        </w:rPr>
        <w:t xml:space="preserve"> percent em</w:t>
      </w:r>
      <w:r w:rsidR="00D6634E">
        <w:rPr>
          <w:rFonts w:ascii="Palatino Linotype" w:hAnsi="Palatino Linotype"/>
          <w:noProof/>
          <w:szCs w:val="24"/>
        </w:rPr>
        <w:t>i</w:t>
      </w:r>
      <w:r w:rsidRPr="00C851C8">
        <w:rPr>
          <w:rFonts w:ascii="Palatino Linotype" w:hAnsi="Palatino Linotype"/>
          <w:noProof/>
          <w:szCs w:val="24"/>
        </w:rPr>
        <w:t xml:space="preserve">ssions cap scenario, emissions would fall </w:t>
      </w:r>
      <w:r w:rsidR="008C62B7" w:rsidRPr="00C851C8">
        <w:rPr>
          <w:rFonts w:ascii="Palatino Linotype" w:hAnsi="Palatino Linotype"/>
          <w:noProof/>
          <w:szCs w:val="24"/>
        </w:rPr>
        <w:t>by .</w:t>
      </w:r>
      <w:r w:rsidR="00C851C8" w:rsidRPr="00C851C8">
        <w:rPr>
          <w:rFonts w:ascii="Palatino Linotype" w:hAnsi="Palatino Linotype"/>
          <w:noProof/>
          <w:szCs w:val="24"/>
        </w:rPr>
        <w:t>648</w:t>
      </w:r>
      <w:r w:rsidR="008C62B7" w:rsidRPr="00C851C8">
        <w:rPr>
          <w:rFonts w:ascii="Palatino Linotype" w:hAnsi="Palatino Linotype"/>
          <w:noProof/>
          <w:szCs w:val="24"/>
        </w:rPr>
        <w:t xml:space="preserve"> MMT of CO2E by 2022 and .</w:t>
      </w:r>
      <w:r w:rsidR="00C851C8" w:rsidRPr="00C851C8">
        <w:rPr>
          <w:rFonts w:ascii="Palatino Linotype" w:hAnsi="Palatino Linotype"/>
          <w:noProof/>
          <w:szCs w:val="24"/>
        </w:rPr>
        <w:t>607</w:t>
      </w:r>
      <w:r w:rsidR="008C62B7" w:rsidRPr="00C851C8">
        <w:rPr>
          <w:rFonts w:ascii="Palatino Linotype" w:hAnsi="Palatino Linotype"/>
          <w:noProof/>
          <w:szCs w:val="24"/>
        </w:rPr>
        <w:t xml:space="preserve"> MMT of CO2E by 2026</w:t>
      </w:r>
      <w:r w:rsidRPr="00C851C8">
        <w:rPr>
          <w:rFonts w:ascii="Palatino Linotype" w:hAnsi="Palatino Linotype"/>
          <w:noProof/>
          <w:szCs w:val="24"/>
        </w:rPr>
        <w:t>.</w:t>
      </w:r>
      <w:r w:rsidR="008C62B7" w:rsidRPr="00C851C8">
        <w:rPr>
          <w:rFonts w:ascii="Palatino Linotype" w:hAnsi="Palatino Linotype"/>
          <w:noProof/>
          <w:szCs w:val="24"/>
        </w:rPr>
        <w:t xml:space="preserve"> </w:t>
      </w:r>
      <w:r w:rsidRPr="00C851C8">
        <w:rPr>
          <w:rFonts w:ascii="Palatino Linotype" w:hAnsi="Palatino Linotype"/>
          <w:noProof/>
          <w:szCs w:val="24"/>
        </w:rPr>
        <w:t>A</w:t>
      </w:r>
      <w:r w:rsidR="008C62B7" w:rsidRPr="00C851C8">
        <w:rPr>
          <w:rFonts w:ascii="Palatino Linotype" w:hAnsi="Palatino Linotype"/>
          <w:noProof/>
          <w:szCs w:val="24"/>
        </w:rPr>
        <w:t xml:space="preserve">nd </w:t>
      </w:r>
      <w:r w:rsidRPr="00C851C8">
        <w:rPr>
          <w:rFonts w:ascii="Palatino Linotype" w:hAnsi="Palatino Linotype"/>
          <w:noProof/>
          <w:szCs w:val="24"/>
        </w:rPr>
        <w:t xml:space="preserve">in a 25 emissions cap scenario, emissions would decrease </w:t>
      </w:r>
      <w:r w:rsidR="008C62B7" w:rsidRPr="00C851C8">
        <w:rPr>
          <w:rFonts w:ascii="Palatino Linotype" w:hAnsi="Palatino Linotype"/>
          <w:noProof/>
          <w:szCs w:val="24"/>
        </w:rPr>
        <w:t>by .</w:t>
      </w:r>
      <w:r w:rsidR="00C851C8" w:rsidRPr="00C851C8">
        <w:rPr>
          <w:rFonts w:ascii="Palatino Linotype" w:hAnsi="Palatino Linotype"/>
          <w:noProof/>
          <w:szCs w:val="24"/>
        </w:rPr>
        <w:t>800</w:t>
      </w:r>
      <w:r w:rsidR="008C62B7" w:rsidRPr="00C851C8">
        <w:rPr>
          <w:rFonts w:ascii="Palatino Linotype" w:hAnsi="Palatino Linotype"/>
          <w:noProof/>
          <w:szCs w:val="24"/>
        </w:rPr>
        <w:t xml:space="preserve"> MMT of CO2E by 2022 and .</w:t>
      </w:r>
      <w:r w:rsidR="00C851C8" w:rsidRPr="00C851C8">
        <w:rPr>
          <w:rFonts w:ascii="Palatino Linotype" w:hAnsi="Palatino Linotype"/>
          <w:noProof/>
          <w:szCs w:val="24"/>
        </w:rPr>
        <w:t>738</w:t>
      </w:r>
      <w:r w:rsidR="008C62B7" w:rsidRPr="00C851C8">
        <w:rPr>
          <w:rFonts w:ascii="Palatino Linotype" w:hAnsi="Palatino Linotype"/>
          <w:noProof/>
          <w:szCs w:val="24"/>
        </w:rPr>
        <w:t xml:space="preserve"> MMT of CO2E by 2026.</w:t>
      </w:r>
      <w:r w:rsidR="008C62B7" w:rsidRPr="00B45B4B">
        <w:rPr>
          <w:rFonts w:ascii="Palatino Linotype" w:hAnsi="Palatino Linotype"/>
          <w:noProof/>
          <w:szCs w:val="24"/>
        </w:rPr>
        <w:t xml:space="preserve">  </w:t>
      </w:r>
    </w:p>
    <w:p w14:paraId="0AB6334A" w14:textId="1DBC45E3" w:rsidR="002E66C3" w:rsidRPr="008A491E" w:rsidRDefault="008C62B7" w:rsidP="00903156">
      <w:pPr>
        <w:spacing w:line="360" w:lineRule="auto"/>
        <w:ind w:firstLine="720"/>
        <w:jc w:val="both"/>
        <w:rPr>
          <w:rFonts w:ascii="Palatino Linotype" w:hAnsi="Palatino Linotype"/>
          <w:noProof/>
          <w:szCs w:val="24"/>
        </w:rPr>
      </w:pPr>
      <w:r w:rsidRPr="009F6590">
        <w:rPr>
          <w:rFonts w:ascii="Palatino Linotype" w:hAnsi="Palatino Linotype"/>
          <w:noProof/>
          <w:szCs w:val="24"/>
        </w:rPr>
        <w:t>The DICE model projects the social cost of CO2E at $39.</w:t>
      </w:r>
      <w:r w:rsidR="008A56FE" w:rsidRPr="009F6590">
        <w:rPr>
          <w:rFonts w:ascii="Palatino Linotype" w:hAnsi="Palatino Linotype"/>
          <w:noProof/>
          <w:szCs w:val="24"/>
        </w:rPr>
        <w:t>53</w:t>
      </w:r>
      <w:r w:rsidRPr="009F6590">
        <w:rPr>
          <w:rFonts w:ascii="Palatino Linotype" w:hAnsi="Palatino Linotype"/>
          <w:noProof/>
          <w:szCs w:val="24"/>
        </w:rPr>
        <w:t xml:space="preserve"> per metric ton of CO2E in 2022, increasing to $45.</w:t>
      </w:r>
      <w:r w:rsidR="008A56FE" w:rsidRPr="009F6590">
        <w:rPr>
          <w:rFonts w:ascii="Palatino Linotype" w:hAnsi="Palatino Linotype"/>
          <w:noProof/>
          <w:szCs w:val="24"/>
        </w:rPr>
        <w:t>81</w:t>
      </w:r>
      <w:r w:rsidRPr="009F6590">
        <w:rPr>
          <w:rFonts w:ascii="Palatino Linotype" w:hAnsi="Palatino Linotype"/>
          <w:noProof/>
          <w:szCs w:val="24"/>
        </w:rPr>
        <w:t xml:space="preserve"> per metric ton of CO2E in 2026.  As a result,</w:t>
      </w:r>
      <w:r w:rsidR="000E2A59" w:rsidRPr="009F6590">
        <w:rPr>
          <w:rFonts w:ascii="Palatino Linotype" w:hAnsi="Palatino Linotype"/>
          <w:noProof/>
          <w:szCs w:val="24"/>
        </w:rPr>
        <w:t xml:space="preserve"> in a 20 percent emissions cap scenario,</w:t>
      </w:r>
      <w:r w:rsidRPr="009F6590">
        <w:rPr>
          <w:rFonts w:ascii="Palatino Linotype" w:hAnsi="Palatino Linotype"/>
          <w:noProof/>
          <w:szCs w:val="24"/>
        </w:rPr>
        <w:t xml:space="preserve"> the </w:t>
      </w:r>
      <w:r w:rsidR="000E2A59" w:rsidRPr="009F6590">
        <w:rPr>
          <w:rFonts w:ascii="Palatino Linotype" w:hAnsi="Palatino Linotype"/>
          <w:noProof/>
          <w:szCs w:val="24"/>
        </w:rPr>
        <w:t xml:space="preserve">reduction in emissions </w:t>
      </w:r>
      <w:r w:rsidRPr="009F6590">
        <w:rPr>
          <w:rFonts w:ascii="Palatino Linotype" w:hAnsi="Palatino Linotype"/>
          <w:noProof/>
          <w:szCs w:val="24"/>
        </w:rPr>
        <w:t>would provide $</w:t>
      </w:r>
      <w:r w:rsidR="009F6590" w:rsidRPr="009F6590">
        <w:rPr>
          <w:rFonts w:ascii="Palatino Linotype" w:hAnsi="Palatino Linotype"/>
          <w:noProof/>
          <w:szCs w:val="24"/>
        </w:rPr>
        <w:t>21.70</w:t>
      </w:r>
      <w:r w:rsidRPr="009F6590">
        <w:rPr>
          <w:rFonts w:ascii="Palatino Linotype" w:hAnsi="Palatino Linotype"/>
          <w:noProof/>
          <w:szCs w:val="24"/>
        </w:rPr>
        <w:t xml:space="preserve"> million in social benefits in 2022 and $</w:t>
      </w:r>
      <w:r w:rsidR="009F6590" w:rsidRPr="009F6590">
        <w:rPr>
          <w:rFonts w:ascii="Palatino Linotype" w:hAnsi="Palatino Linotype"/>
          <w:noProof/>
          <w:szCs w:val="24"/>
        </w:rPr>
        <w:t>23.79</w:t>
      </w:r>
      <w:r w:rsidRPr="009F6590">
        <w:rPr>
          <w:rFonts w:ascii="Palatino Linotype" w:hAnsi="Palatino Linotype"/>
          <w:noProof/>
          <w:szCs w:val="24"/>
        </w:rPr>
        <w:t xml:space="preserve"> million in social benefit in 2026</w:t>
      </w:r>
      <w:r w:rsidR="000E2A59" w:rsidRPr="009F6590">
        <w:rPr>
          <w:rFonts w:ascii="Palatino Linotype" w:hAnsi="Palatino Linotype"/>
          <w:noProof/>
          <w:szCs w:val="24"/>
        </w:rPr>
        <w:t>. A 22</w:t>
      </w:r>
      <w:r w:rsidR="009F6590" w:rsidRPr="009F6590">
        <w:rPr>
          <w:rFonts w:ascii="Palatino Linotype" w:hAnsi="Palatino Linotype"/>
          <w:noProof/>
          <w:szCs w:val="24"/>
        </w:rPr>
        <w:t>.5</w:t>
      </w:r>
      <w:r w:rsidR="000E2A59" w:rsidRPr="009F6590">
        <w:rPr>
          <w:rFonts w:ascii="Palatino Linotype" w:hAnsi="Palatino Linotype"/>
          <w:noProof/>
          <w:szCs w:val="24"/>
        </w:rPr>
        <w:t xml:space="preserve"> percent emissions cap scenario would result in </w:t>
      </w:r>
      <w:r w:rsidRPr="009F6590">
        <w:rPr>
          <w:rFonts w:ascii="Palatino Linotype" w:hAnsi="Palatino Linotype"/>
          <w:noProof/>
          <w:szCs w:val="24"/>
        </w:rPr>
        <w:t>$</w:t>
      </w:r>
      <w:r w:rsidR="009F6590" w:rsidRPr="009F6590">
        <w:rPr>
          <w:rFonts w:ascii="Palatino Linotype" w:hAnsi="Palatino Linotype"/>
          <w:noProof/>
          <w:szCs w:val="24"/>
        </w:rPr>
        <w:t>25.60</w:t>
      </w:r>
      <w:r w:rsidRPr="009F6590">
        <w:rPr>
          <w:rFonts w:ascii="Palatino Linotype" w:hAnsi="Palatino Linotype"/>
          <w:noProof/>
          <w:szCs w:val="24"/>
        </w:rPr>
        <w:t xml:space="preserve"> million in social benefits in 2022 an</w:t>
      </w:r>
      <w:r w:rsidR="000E2A59" w:rsidRPr="009F6590">
        <w:rPr>
          <w:rFonts w:ascii="Palatino Linotype" w:hAnsi="Palatino Linotype"/>
          <w:noProof/>
          <w:szCs w:val="24"/>
        </w:rPr>
        <w:t xml:space="preserve">d </w:t>
      </w:r>
      <w:r w:rsidRPr="009F6590">
        <w:rPr>
          <w:rFonts w:ascii="Palatino Linotype" w:hAnsi="Palatino Linotype"/>
          <w:noProof/>
          <w:szCs w:val="24"/>
        </w:rPr>
        <w:t>$</w:t>
      </w:r>
      <w:r w:rsidR="009F6590" w:rsidRPr="009F6590">
        <w:rPr>
          <w:rFonts w:ascii="Palatino Linotype" w:hAnsi="Palatino Linotype"/>
          <w:noProof/>
          <w:szCs w:val="24"/>
        </w:rPr>
        <w:t>27</w:t>
      </w:r>
      <w:r w:rsidRPr="009F6590">
        <w:rPr>
          <w:rFonts w:ascii="Palatino Linotype" w:hAnsi="Palatino Linotype"/>
          <w:noProof/>
          <w:szCs w:val="24"/>
        </w:rPr>
        <w:t>.8</w:t>
      </w:r>
      <w:r w:rsidR="009F6590" w:rsidRPr="009F6590">
        <w:rPr>
          <w:rFonts w:ascii="Palatino Linotype" w:hAnsi="Palatino Linotype"/>
          <w:noProof/>
          <w:szCs w:val="24"/>
        </w:rPr>
        <w:t>8</w:t>
      </w:r>
      <w:r w:rsidRPr="009F6590">
        <w:rPr>
          <w:rFonts w:ascii="Palatino Linotype" w:hAnsi="Palatino Linotype"/>
          <w:noProof/>
          <w:szCs w:val="24"/>
        </w:rPr>
        <w:t xml:space="preserve"> million in social benefits by 2026</w:t>
      </w:r>
      <w:r w:rsidR="000E2A59" w:rsidRPr="009F6590">
        <w:rPr>
          <w:rFonts w:ascii="Palatino Linotype" w:hAnsi="Palatino Linotype"/>
          <w:noProof/>
          <w:szCs w:val="24"/>
        </w:rPr>
        <w:t>. In a 25 percent emissions cap scenario,</w:t>
      </w:r>
      <w:r w:rsidRPr="009F6590">
        <w:rPr>
          <w:rFonts w:ascii="Palatino Linotype" w:hAnsi="Palatino Linotype"/>
          <w:noProof/>
          <w:szCs w:val="24"/>
        </w:rPr>
        <w:t xml:space="preserve"> </w:t>
      </w:r>
      <w:r w:rsidR="000E2A59" w:rsidRPr="009F6590">
        <w:rPr>
          <w:rFonts w:ascii="Palatino Linotype" w:hAnsi="Palatino Linotype"/>
          <w:noProof/>
          <w:szCs w:val="24"/>
        </w:rPr>
        <w:t>total social benefits would be</w:t>
      </w:r>
      <w:r w:rsidRPr="009F6590">
        <w:rPr>
          <w:rFonts w:ascii="Palatino Linotype" w:hAnsi="Palatino Linotype"/>
          <w:noProof/>
          <w:szCs w:val="24"/>
        </w:rPr>
        <w:t xml:space="preserve"> $</w:t>
      </w:r>
      <w:r w:rsidR="009F6590" w:rsidRPr="009F6590">
        <w:rPr>
          <w:rFonts w:ascii="Palatino Linotype" w:hAnsi="Palatino Linotype"/>
          <w:noProof/>
          <w:szCs w:val="24"/>
        </w:rPr>
        <w:t>31.62</w:t>
      </w:r>
      <w:r w:rsidRPr="009F6590">
        <w:rPr>
          <w:rFonts w:ascii="Palatino Linotype" w:hAnsi="Palatino Linotype"/>
          <w:noProof/>
          <w:szCs w:val="24"/>
        </w:rPr>
        <w:t xml:space="preserve"> million in 2022 and</w:t>
      </w:r>
      <w:r w:rsidR="000E2A59" w:rsidRPr="009F6590">
        <w:rPr>
          <w:rFonts w:ascii="Palatino Linotype" w:hAnsi="Palatino Linotype"/>
          <w:noProof/>
          <w:szCs w:val="24"/>
        </w:rPr>
        <w:t xml:space="preserve"> </w:t>
      </w:r>
      <w:r w:rsidRPr="009F6590">
        <w:rPr>
          <w:rFonts w:ascii="Palatino Linotype" w:hAnsi="Palatino Linotype"/>
          <w:noProof/>
          <w:szCs w:val="24"/>
        </w:rPr>
        <w:t>$</w:t>
      </w:r>
      <w:r w:rsidR="009F6590" w:rsidRPr="009F6590">
        <w:rPr>
          <w:rFonts w:ascii="Palatino Linotype" w:hAnsi="Palatino Linotype"/>
          <w:noProof/>
          <w:szCs w:val="24"/>
        </w:rPr>
        <w:t>33.79</w:t>
      </w:r>
      <w:r w:rsidRPr="009F6590">
        <w:rPr>
          <w:rFonts w:ascii="Palatino Linotype" w:hAnsi="Palatino Linotype"/>
          <w:noProof/>
          <w:szCs w:val="24"/>
        </w:rPr>
        <w:t xml:space="preserve"> million by 2026.</w:t>
      </w:r>
      <w:r w:rsidRPr="00B45B4B">
        <w:rPr>
          <w:rFonts w:ascii="Palatino Linotype" w:hAnsi="Palatino Linotype"/>
          <w:noProof/>
          <w:szCs w:val="24"/>
        </w:rPr>
        <w:t xml:space="preserve">  </w:t>
      </w:r>
      <w:r w:rsidR="00A3489F" w:rsidRPr="008A491E">
        <w:rPr>
          <w:rFonts w:ascii="Palatino Linotype" w:hAnsi="Palatino Linotype"/>
          <w:noProof/>
          <w:szCs w:val="24"/>
        </w:rPr>
        <w:t xml:space="preserve">     </w:t>
      </w:r>
    </w:p>
    <w:p w14:paraId="72C97B1A" w14:textId="1EBC1097" w:rsidR="001828EA" w:rsidRDefault="00A3489F" w:rsidP="005538D1">
      <w:pPr>
        <w:spacing w:line="360" w:lineRule="auto"/>
        <w:ind w:firstLine="720"/>
        <w:jc w:val="both"/>
        <w:rPr>
          <w:rFonts w:ascii="Palatino Linotype" w:hAnsi="Palatino Linotype"/>
          <w:noProof/>
          <w:szCs w:val="24"/>
        </w:rPr>
      </w:pPr>
      <w:r w:rsidRPr="003529BB">
        <w:rPr>
          <w:rFonts w:ascii="Palatino Linotype" w:hAnsi="Palatino Linotype"/>
          <w:noProof/>
          <w:szCs w:val="24"/>
        </w:rPr>
        <w:t>To estimate the economic effects of</w:t>
      </w:r>
      <w:r w:rsidR="00AF38EC">
        <w:rPr>
          <w:rFonts w:ascii="Palatino Linotype" w:hAnsi="Palatino Linotype"/>
          <w:noProof/>
          <w:szCs w:val="24"/>
        </w:rPr>
        <w:t>Virginia</w:t>
      </w:r>
      <w:r w:rsidR="00016CC6">
        <w:rPr>
          <w:rFonts w:ascii="Palatino Linotype" w:hAnsi="Palatino Linotype"/>
          <w:noProof/>
          <w:szCs w:val="24"/>
        </w:rPr>
        <w:t>’s</w:t>
      </w:r>
      <w:r w:rsidR="00063782">
        <w:rPr>
          <w:rFonts w:ascii="Palatino Linotype" w:hAnsi="Palatino Linotype"/>
          <w:noProof/>
          <w:szCs w:val="24"/>
        </w:rPr>
        <w:t xml:space="preserve"> </w:t>
      </w:r>
      <w:r w:rsidR="003529BB" w:rsidRPr="003529BB">
        <w:rPr>
          <w:rFonts w:ascii="Palatino Linotype" w:hAnsi="Palatino Linotype"/>
          <w:noProof/>
          <w:szCs w:val="24"/>
        </w:rPr>
        <w:t>participati</w:t>
      </w:r>
      <w:r w:rsidR="003A21C0">
        <w:rPr>
          <w:rFonts w:ascii="Palatino Linotype" w:hAnsi="Palatino Linotype"/>
          <w:noProof/>
          <w:szCs w:val="24"/>
        </w:rPr>
        <w:t>on</w:t>
      </w:r>
      <w:r w:rsidR="003529BB" w:rsidRPr="003529BB">
        <w:rPr>
          <w:rFonts w:ascii="Palatino Linotype" w:hAnsi="Palatino Linotype"/>
          <w:noProof/>
          <w:szCs w:val="24"/>
        </w:rPr>
        <w:t xml:space="preserve"> in </w:t>
      </w:r>
      <w:r w:rsidR="00016CC6">
        <w:rPr>
          <w:rFonts w:ascii="Palatino Linotype" w:hAnsi="Palatino Linotype"/>
          <w:noProof/>
          <w:szCs w:val="24"/>
        </w:rPr>
        <w:t xml:space="preserve">the </w:t>
      </w:r>
      <w:r w:rsidR="003529BB" w:rsidRPr="003529BB">
        <w:rPr>
          <w:rFonts w:ascii="Palatino Linotype" w:hAnsi="Palatino Linotype"/>
          <w:noProof/>
          <w:szCs w:val="24"/>
        </w:rPr>
        <w:t>TCI</w:t>
      </w:r>
      <w:r w:rsidRPr="003529BB">
        <w:rPr>
          <w:rFonts w:ascii="Palatino Linotype" w:hAnsi="Palatino Linotype"/>
          <w:noProof/>
          <w:szCs w:val="24"/>
        </w:rPr>
        <w:t xml:space="preserve">, BHI has </w:t>
      </w:r>
      <w:r w:rsidR="00016CC6">
        <w:rPr>
          <w:rFonts w:ascii="Palatino Linotype" w:hAnsi="Palatino Linotype"/>
          <w:noProof/>
          <w:szCs w:val="24"/>
        </w:rPr>
        <w:t>utilized</w:t>
      </w:r>
      <w:r w:rsidR="00016CC6" w:rsidRPr="003529BB">
        <w:rPr>
          <w:rFonts w:ascii="Palatino Linotype" w:hAnsi="Palatino Linotype"/>
          <w:noProof/>
          <w:szCs w:val="24"/>
        </w:rPr>
        <w:t xml:space="preserve"> </w:t>
      </w:r>
      <w:r w:rsidRPr="003529BB">
        <w:rPr>
          <w:rFonts w:ascii="Palatino Linotype" w:hAnsi="Palatino Linotype"/>
          <w:noProof/>
          <w:szCs w:val="24"/>
        </w:rPr>
        <w:t xml:space="preserve">a Computable General Equilibrium (CGE) model.  The purpose of the BHI model, called </w:t>
      </w:r>
      <w:r w:rsidR="00AF13D7">
        <w:rPr>
          <w:rFonts w:ascii="Palatino Linotype" w:hAnsi="Palatino Linotype"/>
          <w:noProof/>
          <w:szCs w:val="24"/>
        </w:rPr>
        <w:t>V</w:t>
      </w:r>
      <w:r w:rsidRPr="003529BB">
        <w:rPr>
          <w:rFonts w:ascii="Palatino Linotype" w:hAnsi="Palatino Linotype"/>
          <w:noProof/>
          <w:szCs w:val="24"/>
        </w:rPr>
        <w:t>A-STAMP (</w:t>
      </w:r>
      <w:r w:rsidR="00AF38EC">
        <w:rPr>
          <w:rFonts w:ascii="Palatino Linotype" w:hAnsi="Palatino Linotype"/>
          <w:noProof/>
          <w:szCs w:val="24"/>
        </w:rPr>
        <w:t xml:space="preserve">Virginia </w:t>
      </w:r>
      <w:r w:rsidR="00063782">
        <w:rPr>
          <w:rFonts w:ascii="Palatino Linotype" w:hAnsi="Palatino Linotype"/>
          <w:noProof/>
          <w:szCs w:val="24"/>
        </w:rPr>
        <w:t xml:space="preserve"> </w:t>
      </w:r>
      <w:r w:rsidRPr="003529BB">
        <w:rPr>
          <w:rFonts w:ascii="Palatino Linotype" w:hAnsi="Palatino Linotype"/>
          <w:noProof/>
          <w:szCs w:val="24"/>
        </w:rPr>
        <w:t>State Tax Analysis Modeling Program), is to identify the economic effects</w:t>
      </w:r>
      <w:r w:rsidR="00103D9F" w:rsidRPr="003529BB">
        <w:rPr>
          <w:rFonts w:ascii="Palatino Linotype" w:hAnsi="Palatino Linotype"/>
          <w:noProof/>
          <w:szCs w:val="24"/>
        </w:rPr>
        <w:t xml:space="preserve"> of tax changes on a</w:t>
      </w:r>
      <w:r w:rsidRPr="003529BB">
        <w:rPr>
          <w:rFonts w:ascii="Palatino Linotype" w:hAnsi="Palatino Linotype"/>
          <w:noProof/>
          <w:szCs w:val="24"/>
        </w:rPr>
        <w:t xml:space="preserve"> state’s economy.</w:t>
      </w:r>
      <w:r w:rsidR="00F7229F">
        <w:rPr>
          <w:rStyle w:val="FootnoteReference"/>
          <w:rFonts w:ascii="Palatino Linotype" w:hAnsi="Palatino Linotype"/>
          <w:noProof/>
          <w:szCs w:val="24"/>
        </w:rPr>
        <w:footnoteReference w:customMarkFollows="1" w:id="45"/>
        <w:t>44</w:t>
      </w:r>
      <w:r w:rsidRPr="003529BB">
        <w:rPr>
          <w:rFonts w:ascii="Palatino Linotype" w:hAnsi="Palatino Linotype"/>
          <w:noProof/>
          <w:szCs w:val="24"/>
        </w:rPr>
        <w:t xml:space="preserve">  </w:t>
      </w:r>
      <w:r w:rsidR="00367109" w:rsidRPr="003529BB">
        <w:rPr>
          <w:rFonts w:ascii="Palatino Linotype" w:hAnsi="Palatino Linotype"/>
          <w:noProof/>
          <w:szCs w:val="24"/>
        </w:rPr>
        <w:t>U</w:t>
      </w:r>
      <w:r w:rsidR="00670D4F" w:rsidRPr="003529BB">
        <w:rPr>
          <w:rFonts w:ascii="Palatino Linotype" w:hAnsi="Palatino Linotype"/>
          <w:noProof/>
          <w:szCs w:val="24"/>
        </w:rPr>
        <w:t xml:space="preserve">sing </w:t>
      </w:r>
      <w:r w:rsidR="00103D9F" w:rsidRPr="003529BB">
        <w:rPr>
          <w:rFonts w:ascii="Palatino Linotype" w:hAnsi="Palatino Linotype"/>
          <w:noProof/>
          <w:szCs w:val="24"/>
        </w:rPr>
        <w:t xml:space="preserve">the </w:t>
      </w:r>
      <w:r w:rsidR="00670D4F" w:rsidRPr="003529BB">
        <w:rPr>
          <w:rFonts w:ascii="Palatino Linotype" w:hAnsi="Palatino Linotype"/>
          <w:noProof/>
          <w:szCs w:val="24"/>
        </w:rPr>
        <w:t xml:space="preserve">STAMP model, </w:t>
      </w:r>
      <w:r w:rsidRPr="003529BB">
        <w:rPr>
          <w:rFonts w:ascii="Palatino Linotype" w:hAnsi="Palatino Linotype"/>
          <w:noProof/>
          <w:szCs w:val="24"/>
        </w:rPr>
        <w:t>we f</w:t>
      </w:r>
      <w:r w:rsidR="008B4A6E">
        <w:rPr>
          <w:rFonts w:ascii="Palatino Linotype" w:hAnsi="Palatino Linotype"/>
          <w:noProof/>
          <w:szCs w:val="24"/>
        </w:rPr>
        <w:t>ound</w:t>
      </w:r>
      <w:r w:rsidR="00670D4F" w:rsidRPr="003529BB">
        <w:rPr>
          <w:rFonts w:ascii="Palatino Linotype" w:hAnsi="Palatino Linotype"/>
          <w:noProof/>
          <w:szCs w:val="24"/>
        </w:rPr>
        <w:t xml:space="preserve"> that </w:t>
      </w:r>
      <w:r w:rsidR="00212CD0" w:rsidRPr="003529BB">
        <w:rPr>
          <w:rFonts w:ascii="Palatino Linotype" w:hAnsi="Palatino Linotype"/>
          <w:noProof/>
          <w:szCs w:val="24"/>
        </w:rPr>
        <w:t>the</w:t>
      </w:r>
      <w:r w:rsidR="003529BB" w:rsidRPr="003529BB">
        <w:rPr>
          <w:rFonts w:ascii="Palatino Linotype" w:hAnsi="Palatino Linotype"/>
          <w:noProof/>
          <w:szCs w:val="24"/>
        </w:rPr>
        <w:t xml:space="preserve"> increase in </w:t>
      </w:r>
      <w:r w:rsidR="00D6634E">
        <w:rPr>
          <w:rFonts w:ascii="Palatino Linotype" w:hAnsi="Palatino Linotype"/>
          <w:noProof/>
          <w:szCs w:val="24"/>
        </w:rPr>
        <w:t xml:space="preserve">the </w:t>
      </w:r>
      <w:r w:rsidR="003529BB" w:rsidRPr="003529BB">
        <w:rPr>
          <w:rFonts w:ascii="Palatino Linotype" w:hAnsi="Palatino Linotype"/>
          <w:noProof/>
          <w:szCs w:val="24"/>
        </w:rPr>
        <w:t>price of finished gasoline and on-road diesel resulting from various emissions caps</w:t>
      </w:r>
      <w:r w:rsidR="00212CD0" w:rsidRPr="003529BB">
        <w:rPr>
          <w:rFonts w:ascii="Palatino Linotype" w:hAnsi="Palatino Linotype"/>
          <w:noProof/>
          <w:szCs w:val="24"/>
        </w:rPr>
        <w:t xml:space="preserve"> </w:t>
      </w:r>
      <w:r w:rsidR="00367109" w:rsidRPr="003529BB">
        <w:rPr>
          <w:rFonts w:ascii="Palatino Linotype" w:hAnsi="Palatino Linotype"/>
          <w:noProof/>
          <w:szCs w:val="24"/>
        </w:rPr>
        <w:t xml:space="preserve">would </w:t>
      </w:r>
      <w:r w:rsidR="003529BB" w:rsidRPr="003529BB">
        <w:rPr>
          <w:rFonts w:ascii="Palatino Linotype" w:hAnsi="Palatino Linotype"/>
          <w:noProof/>
          <w:szCs w:val="24"/>
        </w:rPr>
        <w:t>generate</w:t>
      </w:r>
      <w:r w:rsidR="00367109" w:rsidRPr="003529BB">
        <w:rPr>
          <w:rFonts w:ascii="Palatino Linotype" w:hAnsi="Palatino Linotype"/>
          <w:noProof/>
          <w:szCs w:val="24"/>
        </w:rPr>
        <w:t xml:space="preserve"> a </w:t>
      </w:r>
      <w:r w:rsidR="00212CD0" w:rsidRPr="003529BB">
        <w:rPr>
          <w:rFonts w:ascii="Palatino Linotype" w:hAnsi="Palatino Linotype"/>
          <w:noProof/>
          <w:szCs w:val="24"/>
        </w:rPr>
        <w:t>less</w:t>
      </w:r>
      <w:r w:rsidR="00367109" w:rsidRPr="003529BB">
        <w:rPr>
          <w:rFonts w:ascii="Palatino Linotype" w:hAnsi="Palatino Linotype"/>
          <w:noProof/>
          <w:szCs w:val="24"/>
        </w:rPr>
        <w:t xml:space="preserve"> </w:t>
      </w:r>
      <w:r w:rsidR="00BB2339" w:rsidRPr="003529BB">
        <w:rPr>
          <w:rFonts w:ascii="Palatino Linotype" w:hAnsi="Palatino Linotype"/>
          <w:noProof/>
          <w:szCs w:val="24"/>
        </w:rPr>
        <w:t xml:space="preserve">competitive </w:t>
      </w:r>
      <w:r w:rsidR="00367109" w:rsidRPr="003529BB">
        <w:rPr>
          <w:rFonts w:ascii="Palatino Linotype" w:hAnsi="Palatino Linotype"/>
          <w:noProof/>
          <w:szCs w:val="24"/>
        </w:rPr>
        <w:t xml:space="preserve">business </w:t>
      </w:r>
      <w:r w:rsidR="00BB2339" w:rsidRPr="003529BB">
        <w:rPr>
          <w:rFonts w:ascii="Palatino Linotype" w:hAnsi="Palatino Linotype"/>
          <w:noProof/>
          <w:szCs w:val="24"/>
        </w:rPr>
        <w:t>environment</w:t>
      </w:r>
      <w:r w:rsidR="00367109" w:rsidRPr="003529BB">
        <w:rPr>
          <w:rFonts w:ascii="Palatino Linotype" w:hAnsi="Palatino Linotype"/>
          <w:noProof/>
          <w:szCs w:val="24"/>
        </w:rPr>
        <w:t xml:space="preserve">, resulting in </w:t>
      </w:r>
      <w:r w:rsidR="003529BB" w:rsidRPr="003529BB">
        <w:rPr>
          <w:rFonts w:ascii="Palatino Linotype" w:hAnsi="Palatino Linotype"/>
          <w:noProof/>
          <w:szCs w:val="24"/>
        </w:rPr>
        <w:t xml:space="preserve">slower economic growth, </w:t>
      </w:r>
      <w:r w:rsidR="00212CD0" w:rsidRPr="003529BB">
        <w:rPr>
          <w:rFonts w:ascii="Palatino Linotype" w:hAnsi="Palatino Linotype"/>
          <w:noProof/>
          <w:szCs w:val="24"/>
        </w:rPr>
        <w:t>lower</w:t>
      </w:r>
      <w:r w:rsidR="00367109" w:rsidRPr="003529BB">
        <w:rPr>
          <w:rFonts w:ascii="Palatino Linotype" w:hAnsi="Palatino Linotype"/>
          <w:noProof/>
          <w:szCs w:val="24"/>
        </w:rPr>
        <w:t xml:space="preserve"> employment</w:t>
      </w:r>
      <w:r w:rsidR="007617C1" w:rsidRPr="003529BB">
        <w:rPr>
          <w:rFonts w:ascii="Palatino Linotype" w:hAnsi="Palatino Linotype"/>
          <w:noProof/>
          <w:szCs w:val="24"/>
        </w:rPr>
        <w:t>, disposable income, and investment</w:t>
      </w:r>
      <w:r w:rsidR="00367109" w:rsidRPr="003529BB">
        <w:rPr>
          <w:rFonts w:ascii="Palatino Linotype" w:hAnsi="Palatino Linotype"/>
          <w:noProof/>
          <w:szCs w:val="24"/>
        </w:rPr>
        <w:t>.</w:t>
      </w:r>
      <w:r w:rsidRPr="003529BB">
        <w:rPr>
          <w:rFonts w:ascii="Palatino Linotype" w:hAnsi="Palatino Linotype"/>
          <w:noProof/>
          <w:szCs w:val="24"/>
        </w:rPr>
        <w:t xml:space="preserve">  </w:t>
      </w:r>
    </w:p>
    <w:p w14:paraId="36848C2E" w14:textId="14E5DE32" w:rsidR="00EB6E66" w:rsidRPr="0056653D" w:rsidRDefault="00A3489F" w:rsidP="005538D1">
      <w:pPr>
        <w:spacing w:line="360" w:lineRule="auto"/>
        <w:ind w:firstLine="720"/>
        <w:jc w:val="both"/>
        <w:rPr>
          <w:rFonts w:ascii="Palatino Linotype" w:hAnsi="Palatino Linotype"/>
          <w:noProof/>
          <w:szCs w:val="24"/>
          <w:highlight w:val="yellow"/>
        </w:rPr>
      </w:pPr>
      <w:r w:rsidRPr="00B45B4B">
        <w:rPr>
          <w:rFonts w:ascii="Palatino Linotype" w:hAnsi="Palatino Linotype"/>
          <w:noProof/>
          <w:szCs w:val="24"/>
        </w:rPr>
        <w:t xml:space="preserve">BHI </w:t>
      </w:r>
      <w:r w:rsidR="00AF13D7">
        <w:rPr>
          <w:rFonts w:ascii="Palatino Linotype" w:hAnsi="Palatino Linotype"/>
          <w:noProof/>
          <w:szCs w:val="24"/>
        </w:rPr>
        <w:t>ran</w:t>
      </w:r>
      <w:r w:rsidRPr="00B45B4B">
        <w:rPr>
          <w:rFonts w:ascii="Palatino Linotype" w:hAnsi="Palatino Linotype"/>
          <w:noProof/>
          <w:szCs w:val="24"/>
        </w:rPr>
        <w:t xml:space="preserve"> the </w:t>
      </w:r>
      <w:r w:rsidR="00AF13D7">
        <w:rPr>
          <w:rFonts w:ascii="Palatino Linotype" w:hAnsi="Palatino Linotype"/>
          <w:noProof/>
          <w:szCs w:val="24"/>
        </w:rPr>
        <w:t>V</w:t>
      </w:r>
      <w:r w:rsidRPr="00B45B4B">
        <w:rPr>
          <w:rFonts w:ascii="Palatino Linotype" w:hAnsi="Palatino Linotype"/>
          <w:noProof/>
          <w:szCs w:val="24"/>
        </w:rPr>
        <w:t xml:space="preserve">A-STAMP model to </w:t>
      </w:r>
      <w:r w:rsidR="009C1FDB">
        <w:rPr>
          <w:rFonts w:ascii="Palatino Linotype" w:hAnsi="Palatino Linotype"/>
          <w:noProof/>
          <w:szCs w:val="24"/>
        </w:rPr>
        <w:t>determine</w:t>
      </w:r>
      <w:r w:rsidRPr="00B45B4B">
        <w:rPr>
          <w:rFonts w:ascii="Palatino Linotype" w:hAnsi="Palatino Linotype"/>
          <w:noProof/>
          <w:szCs w:val="24"/>
        </w:rPr>
        <w:t xml:space="preserve"> the</w:t>
      </w:r>
      <w:r w:rsidR="00B45B4B" w:rsidRPr="00B45B4B">
        <w:rPr>
          <w:rFonts w:ascii="Palatino Linotype" w:hAnsi="Palatino Linotype"/>
          <w:noProof/>
          <w:szCs w:val="24"/>
        </w:rPr>
        <w:t xml:space="preserve"> increase in price in both finished gasoline and on-road diesel</w:t>
      </w:r>
      <w:r w:rsidRPr="00D902A0">
        <w:rPr>
          <w:rFonts w:ascii="Palatino Linotype" w:hAnsi="Palatino Linotype"/>
          <w:noProof/>
          <w:szCs w:val="24"/>
        </w:rPr>
        <w:t xml:space="preserve">. </w:t>
      </w:r>
      <w:r w:rsidR="00AF13D7">
        <w:rPr>
          <w:rFonts w:ascii="Palatino Linotype" w:hAnsi="Palatino Linotype"/>
          <w:noProof/>
          <w:szCs w:val="24"/>
        </w:rPr>
        <w:t xml:space="preserve">The </w:t>
      </w:r>
      <w:r w:rsidR="002A7C1B" w:rsidRPr="00D902A0">
        <w:rPr>
          <w:rFonts w:ascii="Palatino Linotype" w:hAnsi="Palatino Linotype"/>
          <w:noProof/>
          <w:szCs w:val="24"/>
        </w:rPr>
        <w:t>A</w:t>
      </w:r>
      <w:r w:rsidRPr="00D902A0">
        <w:rPr>
          <w:rFonts w:ascii="Palatino Linotype" w:hAnsi="Palatino Linotype"/>
          <w:noProof/>
          <w:szCs w:val="24"/>
        </w:rPr>
        <w:t xml:space="preserve">ppendix contains the details of this procedure.        </w:t>
      </w:r>
      <w:r w:rsidR="00CE5E36" w:rsidRPr="00D902A0">
        <w:rPr>
          <w:rFonts w:ascii="Palatino Linotype" w:hAnsi="Palatino Linotype"/>
          <w:noProof/>
          <w:szCs w:val="24"/>
        </w:rPr>
        <w:t xml:space="preserve">  </w:t>
      </w:r>
    </w:p>
    <w:p w14:paraId="34720ABD" w14:textId="2FD542D4" w:rsidR="00A43F45" w:rsidRPr="003D606D" w:rsidRDefault="00A3489F" w:rsidP="003D606D">
      <w:pPr>
        <w:spacing w:line="360" w:lineRule="auto"/>
        <w:ind w:firstLine="720"/>
        <w:jc w:val="both"/>
        <w:rPr>
          <w:rFonts w:ascii="Palatino Linotype" w:hAnsi="Palatino Linotype"/>
          <w:noProof/>
        </w:rPr>
      </w:pPr>
      <w:r w:rsidRPr="003D606D">
        <w:rPr>
          <w:rFonts w:ascii="Palatino Linotype" w:hAnsi="Palatino Linotype"/>
          <w:noProof/>
        </w:rPr>
        <w:lastRenderedPageBreak/>
        <w:t xml:space="preserve">Table </w:t>
      </w:r>
      <w:r w:rsidR="001B320B">
        <w:rPr>
          <w:rFonts w:ascii="Palatino Linotype" w:hAnsi="Palatino Linotype"/>
          <w:noProof/>
        </w:rPr>
        <w:t>4</w:t>
      </w:r>
      <w:r w:rsidR="00BB2FAB" w:rsidRPr="003D606D">
        <w:rPr>
          <w:rFonts w:ascii="Palatino Linotype" w:hAnsi="Palatino Linotype"/>
          <w:noProof/>
        </w:rPr>
        <w:t xml:space="preserve"> </w:t>
      </w:r>
      <w:r w:rsidRPr="003D606D">
        <w:rPr>
          <w:rFonts w:ascii="Palatino Linotype" w:hAnsi="Palatino Linotype"/>
          <w:noProof/>
        </w:rPr>
        <w:t xml:space="preserve">shows that </w:t>
      </w:r>
      <w:r w:rsidR="00BB2FAB" w:rsidRPr="003D606D">
        <w:rPr>
          <w:rFonts w:ascii="Palatino Linotype" w:hAnsi="Palatino Linotype"/>
          <w:noProof/>
        </w:rPr>
        <w:t xml:space="preserve">a 20 percent emissions cap </w:t>
      </w:r>
      <w:r w:rsidRPr="003D606D">
        <w:rPr>
          <w:rFonts w:ascii="Palatino Linotype" w:hAnsi="Palatino Linotype"/>
          <w:noProof/>
        </w:rPr>
        <w:t xml:space="preserve">would </w:t>
      </w:r>
      <w:r w:rsidR="00212CD0" w:rsidRPr="003D606D">
        <w:rPr>
          <w:rFonts w:ascii="Palatino Linotype" w:hAnsi="Palatino Linotype"/>
          <w:noProof/>
        </w:rPr>
        <w:t xml:space="preserve">reduce </w:t>
      </w:r>
      <w:r w:rsidR="00BB2339" w:rsidRPr="003D606D">
        <w:rPr>
          <w:rFonts w:ascii="Palatino Linotype" w:hAnsi="Palatino Linotype"/>
          <w:noProof/>
        </w:rPr>
        <w:t>investment</w:t>
      </w:r>
      <w:r w:rsidRPr="003D606D">
        <w:rPr>
          <w:rFonts w:ascii="Palatino Linotype" w:hAnsi="Palatino Linotype"/>
          <w:noProof/>
        </w:rPr>
        <w:t xml:space="preserve"> by</w:t>
      </w:r>
      <w:r w:rsidR="00EB6E66" w:rsidRPr="003D606D">
        <w:rPr>
          <w:rFonts w:ascii="Palatino Linotype" w:hAnsi="Palatino Linotype"/>
          <w:noProof/>
        </w:rPr>
        <w:t xml:space="preserve"> $</w:t>
      </w:r>
      <w:r w:rsidR="00BB2FAB" w:rsidRPr="003D606D">
        <w:rPr>
          <w:rFonts w:ascii="Palatino Linotype" w:hAnsi="Palatino Linotype"/>
          <w:noProof/>
        </w:rPr>
        <w:t>1</w:t>
      </w:r>
      <w:r w:rsidR="009F313A">
        <w:rPr>
          <w:rFonts w:ascii="Palatino Linotype" w:hAnsi="Palatino Linotype"/>
          <w:noProof/>
        </w:rPr>
        <w:t>0</w:t>
      </w:r>
      <w:r w:rsidR="0068246A">
        <w:rPr>
          <w:rFonts w:ascii="Palatino Linotype" w:hAnsi="Palatino Linotype"/>
          <w:noProof/>
        </w:rPr>
        <w:t>3</w:t>
      </w:r>
      <w:r w:rsidR="007617C1" w:rsidRPr="003D606D">
        <w:rPr>
          <w:rFonts w:ascii="Palatino Linotype" w:hAnsi="Palatino Linotype"/>
          <w:noProof/>
        </w:rPr>
        <w:t xml:space="preserve"> </w:t>
      </w:r>
      <w:r w:rsidR="00EB6E66" w:rsidRPr="003D606D">
        <w:rPr>
          <w:rFonts w:ascii="Palatino Linotype" w:hAnsi="Palatino Linotype"/>
          <w:noProof/>
        </w:rPr>
        <w:t>million</w:t>
      </w:r>
      <w:r w:rsidRPr="003D606D">
        <w:rPr>
          <w:rFonts w:ascii="Palatino Linotype" w:hAnsi="Palatino Linotype"/>
          <w:noProof/>
        </w:rPr>
        <w:t>, disposable income by</w:t>
      </w:r>
      <w:r w:rsidR="00EB6E66" w:rsidRPr="003D606D">
        <w:rPr>
          <w:rFonts w:ascii="Palatino Linotype" w:hAnsi="Palatino Linotype"/>
          <w:noProof/>
        </w:rPr>
        <w:t xml:space="preserve"> $</w:t>
      </w:r>
      <w:r w:rsidR="0003504A">
        <w:rPr>
          <w:rFonts w:ascii="Palatino Linotype" w:hAnsi="Palatino Linotype"/>
          <w:noProof/>
        </w:rPr>
        <w:t>1,</w:t>
      </w:r>
      <w:r w:rsidR="009F313A">
        <w:rPr>
          <w:rFonts w:ascii="Palatino Linotype" w:hAnsi="Palatino Linotype"/>
          <w:noProof/>
        </w:rPr>
        <w:t>4</w:t>
      </w:r>
      <w:r w:rsidR="0068246A">
        <w:rPr>
          <w:rFonts w:ascii="Palatino Linotype" w:hAnsi="Palatino Linotype"/>
          <w:noProof/>
        </w:rPr>
        <w:t>3</w:t>
      </w:r>
      <w:r w:rsidR="009F313A">
        <w:rPr>
          <w:rFonts w:ascii="Palatino Linotype" w:hAnsi="Palatino Linotype"/>
          <w:noProof/>
        </w:rPr>
        <w:t>9</w:t>
      </w:r>
      <w:r w:rsidR="00CD6126" w:rsidRPr="003D606D">
        <w:rPr>
          <w:rFonts w:ascii="Palatino Linotype" w:hAnsi="Palatino Linotype"/>
          <w:noProof/>
        </w:rPr>
        <w:t xml:space="preserve"> millio</w:t>
      </w:r>
      <w:r w:rsidR="004D6952">
        <w:rPr>
          <w:rFonts w:ascii="Palatino Linotype" w:hAnsi="Palatino Linotype"/>
          <w:noProof/>
        </w:rPr>
        <w:t>n,</w:t>
      </w:r>
      <w:r w:rsidR="00A43F45">
        <w:rPr>
          <w:rFonts w:ascii="Palatino Linotype" w:hAnsi="Palatino Linotype"/>
          <w:noProof/>
        </w:rPr>
        <w:t xml:space="preserve"> and</w:t>
      </w:r>
      <w:r w:rsidR="004D6952" w:rsidRPr="003D606D">
        <w:rPr>
          <w:rFonts w:ascii="Palatino Linotype" w:hAnsi="Palatino Linotype"/>
          <w:noProof/>
        </w:rPr>
        <w:t xml:space="preserve"> private employment by </w:t>
      </w:r>
      <w:r w:rsidR="0068246A">
        <w:rPr>
          <w:rFonts w:ascii="Palatino Linotype" w:hAnsi="Palatino Linotype"/>
          <w:noProof/>
        </w:rPr>
        <w:t>8,033</w:t>
      </w:r>
      <w:r w:rsidR="004D6952">
        <w:rPr>
          <w:rFonts w:ascii="Palatino Linotype" w:hAnsi="Palatino Linotype"/>
          <w:noProof/>
        </w:rPr>
        <w:t xml:space="preserve"> </w:t>
      </w:r>
      <w:r w:rsidR="004D6952" w:rsidRPr="003D606D">
        <w:rPr>
          <w:rFonts w:ascii="Palatino Linotype" w:hAnsi="Palatino Linotype"/>
          <w:noProof/>
        </w:rPr>
        <w:t>jobs</w:t>
      </w:r>
      <w:r w:rsidR="004D6952">
        <w:rPr>
          <w:rFonts w:ascii="Palatino Linotype" w:hAnsi="Palatino Linotype"/>
          <w:noProof/>
        </w:rPr>
        <w:t xml:space="preserve"> in 2022. The cost per average </w:t>
      </w:r>
      <w:r w:rsidR="00AF38EC">
        <w:rPr>
          <w:rFonts w:ascii="Palatino Linotype" w:hAnsi="Palatino Linotype"/>
          <w:noProof/>
        </w:rPr>
        <w:t>Virginia</w:t>
      </w:r>
      <w:r w:rsidR="00063782">
        <w:rPr>
          <w:rFonts w:ascii="Palatino Linotype" w:hAnsi="Palatino Linotype"/>
          <w:noProof/>
        </w:rPr>
        <w:t xml:space="preserve"> </w:t>
      </w:r>
      <w:r w:rsidR="004D6952">
        <w:rPr>
          <w:rFonts w:ascii="Palatino Linotype" w:hAnsi="Palatino Linotype"/>
          <w:noProof/>
        </w:rPr>
        <w:t>household would be $4</w:t>
      </w:r>
      <w:r w:rsidR="0068246A">
        <w:rPr>
          <w:rFonts w:ascii="Palatino Linotype" w:hAnsi="Palatino Linotype"/>
          <w:noProof/>
        </w:rPr>
        <w:t>60</w:t>
      </w:r>
      <w:r w:rsidR="004D6952">
        <w:rPr>
          <w:rFonts w:ascii="Palatino Linotype" w:hAnsi="Palatino Linotype"/>
          <w:noProof/>
        </w:rPr>
        <w:t xml:space="preserve"> in 2022.</w:t>
      </w:r>
      <w:r w:rsidR="000A7957" w:rsidRPr="003D606D">
        <w:rPr>
          <w:rFonts w:ascii="Palatino Linotype" w:hAnsi="Palatino Linotype"/>
          <w:noProof/>
        </w:rPr>
        <w:t xml:space="preserve"> </w:t>
      </w:r>
      <w:r w:rsidR="00BB2FAB" w:rsidRPr="003D606D">
        <w:rPr>
          <w:rFonts w:ascii="Palatino Linotype" w:hAnsi="Palatino Linotype"/>
          <w:noProof/>
        </w:rPr>
        <w:t>The net cost of the emissions cap, that is the total social benefits minus the total social cost (loss of state gross domestic product) would be $</w:t>
      </w:r>
      <w:r w:rsidR="00D46DA4">
        <w:rPr>
          <w:rFonts w:ascii="Palatino Linotype" w:hAnsi="Palatino Linotype"/>
          <w:noProof/>
        </w:rPr>
        <w:t>6</w:t>
      </w:r>
      <w:r w:rsidR="0068246A">
        <w:rPr>
          <w:rFonts w:ascii="Palatino Linotype" w:hAnsi="Palatino Linotype"/>
          <w:noProof/>
        </w:rPr>
        <w:t>53</w:t>
      </w:r>
      <w:r w:rsidR="00BB2FAB" w:rsidRPr="003D606D">
        <w:rPr>
          <w:rFonts w:ascii="Palatino Linotype" w:hAnsi="Palatino Linotype"/>
          <w:noProof/>
        </w:rPr>
        <w:t xml:space="preserve"> million. </w:t>
      </w:r>
      <w:r w:rsidR="006F68BD" w:rsidRPr="003D606D">
        <w:rPr>
          <w:rFonts w:ascii="Palatino Linotype" w:hAnsi="Palatino Linotype"/>
          <w:noProof/>
        </w:rPr>
        <w:t xml:space="preserve">Under a 20 percent emissions cap scenario, the adverse economic effects of the emissions cap would reduce </w:t>
      </w:r>
      <w:r w:rsidR="006D184D">
        <w:rPr>
          <w:rFonts w:ascii="Palatino Linotype" w:hAnsi="Palatino Linotype"/>
          <w:noProof/>
        </w:rPr>
        <w:t>state</w:t>
      </w:r>
      <w:r w:rsidR="006F68BD" w:rsidRPr="003D606D">
        <w:rPr>
          <w:rFonts w:ascii="Palatino Linotype" w:hAnsi="Palatino Linotype"/>
          <w:noProof/>
        </w:rPr>
        <w:t xml:space="preserve"> tax revenues</w:t>
      </w:r>
      <w:r w:rsidR="009F313A">
        <w:rPr>
          <w:rFonts w:ascii="Palatino Linotype" w:hAnsi="Palatino Linotype"/>
          <w:noProof/>
        </w:rPr>
        <w:t xml:space="preserve"> by $30 million. </w:t>
      </w:r>
    </w:p>
    <w:p w14:paraId="6D54B515" w14:textId="5748F994" w:rsidR="00FC0610" w:rsidRDefault="00834419" w:rsidP="00193946">
      <w:pPr>
        <w:spacing w:line="360" w:lineRule="auto"/>
        <w:ind w:firstLine="720"/>
        <w:jc w:val="both"/>
        <w:rPr>
          <w:rFonts w:ascii="Palatino Linotype" w:hAnsi="Palatino Linotype"/>
          <w:noProof/>
          <w:szCs w:val="24"/>
        </w:rPr>
      </w:pPr>
      <w:r w:rsidRPr="00F73841">
        <w:rPr>
          <w:rFonts w:ascii="Palatino Linotype" w:hAnsi="Palatino Linotype"/>
          <w:noProof/>
          <w:szCs w:val="24"/>
        </w:rPr>
        <w:t>As time passes, a</w:t>
      </w:r>
      <w:r w:rsidR="000A7957" w:rsidRPr="00F73841">
        <w:rPr>
          <w:rFonts w:ascii="Palatino Linotype" w:hAnsi="Palatino Linotype"/>
          <w:noProof/>
          <w:szCs w:val="24"/>
        </w:rPr>
        <w:t xml:space="preserve"> 20 percent emissions cap would reduce</w:t>
      </w:r>
      <w:r w:rsidR="009C1FDB">
        <w:rPr>
          <w:rFonts w:ascii="Palatino Linotype" w:hAnsi="Palatino Linotype"/>
          <w:noProof/>
          <w:szCs w:val="24"/>
        </w:rPr>
        <w:t xml:space="preserve"> private</w:t>
      </w:r>
      <w:r w:rsidR="000A7957" w:rsidRPr="00F73841">
        <w:rPr>
          <w:rFonts w:ascii="Palatino Linotype" w:hAnsi="Palatino Linotype"/>
          <w:noProof/>
          <w:szCs w:val="24"/>
        </w:rPr>
        <w:t xml:space="preserve"> investment by $1</w:t>
      </w:r>
      <w:r w:rsidR="009F313A">
        <w:rPr>
          <w:rFonts w:ascii="Palatino Linotype" w:hAnsi="Palatino Linotype"/>
          <w:noProof/>
          <w:szCs w:val="24"/>
        </w:rPr>
        <w:t>1</w:t>
      </w:r>
      <w:r w:rsidR="0068246A">
        <w:rPr>
          <w:rFonts w:ascii="Palatino Linotype" w:hAnsi="Palatino Linotype"/>
          <w:noProof/>
          <w:szCs w:val="24"/>
        </w:rPr>
        <w:t>6</w:t>
      </w:r>
      <w:r w:rsidR="000A7957" w:rsidRPr="00F73841">
        <w:rPr>
          <w:rFonts w:ascii="Palatino Linotype" w:hAnsi="Palatino Linotype"/>
          <w:noProof/>
          <w:szCs w:val="24"/>
        </w:rPr>
        <w:t xml:space="preserve"> million, disposable income by $</w:t>
      </w:r>
      <w:r w:rsidR="004D6952">
        <w:rPr>
          <w:rFonts w:ascii="Palatino Linotype" w:hAnsi="Palatino Linotype"/>
          <w:noProof/>
          <w:szCs w:val="24"/>
        </w:rPr>
        <w:t>1,</w:t>
      </w:r>
      <w:r w:rsidR="009F313A">
        <w:rPr>
          <w:rFonts w:ascii="Palatino Linotype" w:hAnsi="Palatino Linotype"/>
          <w:noProof/>
          <w:szCs w:val="24"/>
        </w:rPr>
        <w:t>6</w:t>
      </w:r>
      <w:r w:rsidR="0068246A">
        <w:rPr>
          <w:rFonts w:ascii="Palatino Linotype" w:hAnsi="Palatino Linotype"/>
          <w:noProof/>
          <w:szCs w:val="24"/>
        </w:rPr>
        <w:t>34</w:t>
      </w:r>
      <w:r w:rsidR="000A7957" w:rsidRPr="00F73841">
        <w:rPr>
          <w:rFonts w:ascii="Palatino Linotype" w:hAnsi="Palatino Linotype"/>
          <w:noProof/>
          <w:szCs w:val="24"/>
        </w:rPr>
        <w:t xml:space="preserve"> million, and private employment by </w:t>
      </w:r>
      <w:r w:rsidR="009F313A">
        <w:rPr>
          <w:rFonts w:ascii="Palatino Linotype" w:hAnsi="Palatino Linotype"/>
          <w:noProof/>
          <w:szCs w:val="24"/>
        </w:rPr>
        <w:t>7,</w:t>
      </w:r>
      <w:r w:rsidR="002D6A03">
        <w:rPr>
          <w:rFonts w:ascii="Palatino Linotype" w:hAnsi="Palatino Linotype"/>
          <w:noProof/>
          <w:szCs w:val="24"/>
        </w:rPr>
        <w:t>116</w:t>
      </w:r>
      <w:r w:rsidR="000A7957" w:rsidRPr="00F73841">
        <w:rPr>
          <w:rFonts w:ascii="Palatino Linotype" w:hAnsi="Palatino Linotype"/>
          <w:noProof/>
          <w:szCs w:val="24"/>
        </w:rPr>
        <w:t xml:space="preserve"> jobs in 2026. </w:t>
      </w:r>
      <w:r w:rsidR="001A670A">
        <w:rPr>
          <w:rFonts w:ascii="Palatino Linotype" w:hAnsi="Palatino Linotype"/>
          <w:noProof/>
          <w:szCs w:val="24"/>
        </w:rPr>
        <w:t xml:space="preserve">The cost imposed per average </w:t>
      </w:r>
      <w:r w:rsidR="00AF38EC">
        <w:rPr>
          <w:rFonts w:ascii="Palatino Linotype" w:hAnsi="Palatino Linotype"/>
          <w:noProof/>
          <w:szCs w:val="24"/>
        </w:rPr>
        <w:t xml:space="preserve">Virginia </w:t>
      </w:r>
      <w:r w:rsidR="001A670A">
        <w:rPr>
          <w:rFonts w:ascii="Palatino Linotype" w:hAnsi="Palatino Linotype"/>
          <w:noProof/>
          <w:szCs w:val="24"/>
        </w:rPr>
        <w:t>household would be $</w:t>
      </w:r>
      <w:r w:rsidR="002D6A03">
        <w:rPr>
          <w:rFonts w:ascii="Palatino Linotype" w:hAnsi="Palatino Linotype"/>
          <w:noProof/>
          <w:szCs w:val="24"/>
        </w:rPr>
        <w:t>523</w:t>
      </w:r>
      <w:r w:rsidR="001A670A">
        <w:rPr>
          <w:rFonts w:ascii="Palatino Linotype" w:hAnsi="Palatino Linotype"/>
          <w:noProof/>
          <w:szCs w:val="24"/>
        </w:rPr>
        <w:t xml:space="preserve"> in 2026. </w:t>
      </w:r>
      <w:r w:rsidR="000A7957" w:rsidRPr="00F73841">
        <w:rPr>
          <w:rFonts w:ascii="Palatino Linotype" w:hAnsi="Palatino Linotype"/>
          <w:noProof/>
          <w:szCs w:val="24"/>
        </w:rPr>
        <w:t>The net cost of the emissions cap</w:t>
      </w:r>
      <w:r w:rsidR="00427782" w:rsidRPr="00F73841">
        <w:rPr>
          <w:rFonts w:ascii="Palatino Linotype" w:hAnsi="Palatino Linotype"/>
          <w:noProof/>
          <w:szCs w:val="24"/>
        </w:rPr>
        <w:t xml:space="preserve"> to the economy </w:t>
      </w:r>
      <w:r w:rsidR="000A7957" w:rsidRPr="00F73841">
        <w:rPr>
          <w:rFonts w:ascii="Palatino Linotype" w:hAnsi="Palatino Linotype"/>
          <w:noProof/>
          <w:szCs w:val="24"/>
        </w:rPr>
        <w:t>would be $</w:t>
      </w:r>
      <w:r w:rsidR="009F313A">
        <w:rPr>
          <w:rFonts w:ascii="Palatino Linotype" w:hAnsi="Palatino Linotype"/>
          <w:noProof/>
          <w:szCs w:val="24"/>
        </w:rPr>
        <w:t>5</w:t>
      </w:r>
      <w:r w:rsidR="002D6A03">
        <w:rPr>
          <w:rFonts w:ascii="Palatino Linotype" w:hAnsi="Palatino Linotype"/>
          <w:noProof/>
          <w:szCs w:val="24"/>
        </w:rPr>
        <w:t>72</w:t>
      </w:r>
      <w:r w:rsidR="000A7957" w:rsidRPr="00F73841">
        <w:rPr>
          <w:rFonts w:ascii="Palatino Linotype" w:hAnsi="Palatino Linotype"/>
          <w:noProof/>
          <w:szCs w:val="24"/>
        </w:rPr>
        <w:t xml:space="preserve"> million. </w:t>
      </w:r>
      <w:r w:rsidR="006F68BD" w:rsidRPr="00F73841">
        <w:rPr>
          <w:rFonts w:ascii="Palatino Linotype" w:hAnsi="Palatino Linotype"/>
          <w:noProof/>
          <w:szCs w:val="24"/>
        </w:rPr>
        <w:t>Under a 20 percent emissions cap scenario, the adverse economic effects of the emissions cap</w:t>
      </w:r>
      <w:r w:rsidR="00981540">
        <w:rPr>
          <w:rFonts w:ascii="Palatino Linotype" w:hAnsi="Palatino Linotype"/>
          <w:noProof/>
          <w:szCs w:val="24"/>
        </w:rPr>
        <w:t xml:space="preserve"> </w:t>
      </w:r>
      <w:r w:rsidR="006F68BD" w:rsidRPr="00F73841">
        <w:rPr>
          <w:rFonts w:ascii="Palatino Linotype" w:hAnsi="Palatino Linotype"/>
          <w:noProof/>
          <w:szCs w:val="24"/>
        </w:rPr>
        <w:t xml:space="preserve">would reduce </w:t>
      </w:r>
      <w:r w:rsidR="006D184D">
        <w:rPr>
          <w:rFonts w:ascii="Palatino Linotype" w:hAnsi="Palatino Linotype"/>
          <w:noProof/>
          <w:szCs w:val="24"/>
        </w:rPr>
        <w:t>state</w:t>
      </w:r>
      <w:r w:rsidR="006F68BD" w:rsidRPr="00F73841">
        <w:rPr>
          <w:rFonts w:ascii="Palatino Linotype" w:hAnsi="Palatino Linotype"/>
          <w:noProof/>
          <w:szCs w:val="24"/>
        </w:rPr>
        <w:t xml:space="preserve"> tax revenues</w:t>
      </w:r>
      <w:r w:rsidR="009F313A">
        <w:rPr>
          <w:rFonts w:ascii="Palatino Linotype" w:hAnsi="Palatino Linotype"/>
          <w:noProof/>
          <w:szCs w:val="24"/>
        </w:rPr>
        <w:t xml:space="preserve"> by $26 million.</w:t>
      </w:r>
    </w:p>
    <w:p w14:paraId="381809C1" w14:textId="6527B9D4" w:rsidR="00757C35" w:rsidRDefault="00757C35" w:rsidP="006C6602">
      <w:pPr>
        <w:spacing w:line="360" w:lineRule="auto"/>
        <w:jc w:val="both"/>
        <w:rPr>
          <w:rFonts w:ascii="Palatino Linotype" w:hAnsi="Palatino Linotype"/>
          <w:noProof/>
          <w:szCs w:val="24"/>
        </w:rPr>
      </w:pPr>
    </w:p>
    <w:p w14:paraId="4010DF78" w14:textId="77777777" w:rsidR="006C6602" w:rsidRDefault="006C6602" w:rsidP="006C6602">
      <w:pPr>
        <w:spacing w:line="360" w:lineRule="auto"/>
        <w:jc w:val="both"/>
        <w:rPr>
          <w:rFonts w:ascii="Palatino Linotype" w:hAnsi="Palatino Linotype"/>
          <w:noProof/>
          <w:szCs w:val="24"/>
        </w:rPr>
      </w:pPr>
    </w:p>
    <w:p w14:paraId="46B33C93" w14:textId="77777777" w:rsidR="006C6602" w:rsidRPr="003D606D" w:rsidRDefault="006C6602" w:rsidP="006C6602">
      <w:pPr>
        <w:spacing w:line="360" w:lineRule="auto"/>
        <w:jc w:val="both"/>
        <w:rPr>
          <w:rFonts w:ascii="Palatino Linotype" w:hAnsi="Palatino Linotype"/>
        </w:rPr>
      </w:pPr>
    </w:p>
    <w:p w14:paraId="0753ED98" w14:textId="6B83FABD" w:rsidR="0025676E" w:rsidRPr="00D81867" w:rsidRDefault="00623EFD" w:rsidP="0025676E">
      <w:pPr>
        <w:pStyle w:val="Caption"/>
        <w:jc w:val="center"/>
        <w:rPr>
          <w:rFonts w:ascii="Palatino Linotype" w:hAnsi="Palatino Linotype"/>
          <w:sz w:val="24"/>
          <w:szCs w:val="24"/>
        </w:rPr>
      </w:pPr>
      <w:r w:rsidRPr="0025676E">
        <w:rPr>
          <w:rFonts w:ascii="Palatino Linotype" w:hAnsi="Palatino Linotype"/>
          <w:sz w:val="24"/>
          <w:szCs w:val="24"/>
        </w:rPr>
        <w:t xml:space="preserve"> </w:t>
      </w:r>
      <w:bookmarkStart w:id="17" w:name="_Toc55394594"/>
      <w:r w:rsidR="0025676E" w:rsidRPr="00D81867">
        <w:rPr>
          <w:rFonts w:ascii="Palatino Linotype" w:hAnsi="Palatino Linotype"/>
          <w:sz w:val="24"/>
          <w:szCs w:val="24"/>
        </w:rPr>
        <w:t xml:space="preserve">Table </w:t>
      </w:r>
      <w:r w:rsidR="001B320B">
        <w:rPr>
          <w:rFonts w:ascii="Palatino Linotype" w:hAnsi="Palatino Linotype"/>
          <w:sz w:val="24"/>
          <w:szCs w:val="24"/>
        </w:rPr>
        <w:t>4</w:t>
      </w:r>
      <w:r w:rsidR="0025676E" w:rsidRPr="00D81867">
        <w:rPr>
          <w:rFonts w:ascii="Palatino Linotype" w:hAnsi="Palatino Linotype" w:cs="Palatino Linotype"/>
          <w:bCs w:val="0"/>
          <w:sz w:val="24"/>
          <w:szCs w:val="24"/>
        </w:rPr>
        <w:t xml:space="preserve">:  The Costs and Benefits of </w:t>
      </w:r>
      <w:r w:rsidR="0025676E">
        <w:rPr>
          <w:rFonts w:ascii="Palatino Linotype" w:hAnsi="Palatino Linotype" w:cs="Palatino Linotype"/>
          <w:bCs w:val="0"/>
          <w:sz w:val="24"/>
          <w:szCs w:val="24"/>
        </w:rPr>
        <w:t xml:space="preserve">a 20% Emissions Cap on </w:t>
      </w:r>
      <w:r w:rsidR="00AF38EC">
        <w:rPr>
          <w:rFonts w:ascii="Palatino Linotype" w:hAnsi="Palatino Linotype" w:cs="Palatino Linotype"/>
          <w:bCs w:val="0"/>
          <w:sz w:val="24"/>
          <w:szCs w:val="24"/>
        </w:rPr>
        <w:t>Virginia</w:t>
      </w:r>
      <w:bookmarkEnd w:id="17"/>
      <w:r w:rsidR="00AF38EC">
        <w:rPr>
          <w:rFonts w:ascii="Palatino Linotype" w:hAnsi="Palatino Linotype" w:cs="Palatino Linotype"/>
          <w:bCs w:val="0"/>
          <w:sz w:val="24"/>
          <w:szCs w:val="24"/>
        </w:rPr>
        <w:t xml:space="preserve"> </w:t>
      </w:r>
    </w:p>
    <w:tbl>
      <w:tblPr>
        <w:tblW w:w="9595" w:type="dxa"/>
        <w:tblLook w:val="04A0" w:firstRow="1" w:lastRow="0" w:firstColumn="1" w:lastColumn="0" w:noHBand="0" w:noVBand="1"/>
      </w:tblPr>
      <w:tblGrid>
        <w:gridCol w:w="4911"/>
        <w:gridCol w:w="924"/>
        <w:gridCol w:w="985"/>
        <w:gridCol w:w="925"/>
        <w:gridCol w:w="925"/>
        <w:gridCol w:w="925"/>
      </w:tblGrid>
      <w:tr w:rsidR="001B320B" w:rsidRPr="00424959" w14:paraId="0B809E35" w14:textId="77777777" w:rsidTr="00EA6BCE">
        <w:trPr>
          <w:trHeight w:val="264"/>
        </w:trPr>
        <w:tc>
          <w:tcPr>
            <w:tcW w:w="4911" w:type="dxa"/>
            <w:tcBorders>
              <w:top w:val="single" w:sz="4" w:space="0" w:color="auto"/>
              <w:left w:val="nil"/>
              <w:bottom w:val="single" w:sz="4" w:space="0" w:color="auto"/>
              <w:right w:val="nil"/>
            </w:tcBorders>
            <w:shd w:val="clear" w:color="auto" w:fill="auto"/>
            <w:noWrap/>
            <w:vAlign w:val="bottom"/>
            <w:hideMark/>
          </w:tcPr>
          <w:p w14:paraId="39CE9857" w14:textId="04AE60F8" w:rsidR="001B320B" w:rsidRPr="001A5F97" w:rsidRDefault="001B320B" w:rsidP="001B320B">
            <w:pPr>
              <w:rPr>
                <w:rFonts w:ascii="Palatino Linotype" w:hAnsi="Palatino Linotype"/>
                <w:sz w:val="22"/>
                <w:szCs w:val="22"/>
              </w:rPr>
            </w:pPr>
            <w:r w:rsidRPr="00A422C0">
              <w:rPr>
                <w:rFonts w:ascii="Palatino Linotype" w:hAnsi="Palatino Linotype"/>
                <w:color w:val="000000" w:themeColor="text1"/>
                <w:sz w:val="22"/>
                <w:szCs w:val="22"/>
              </w:rPr>
              <w:t>Variable</w:t>
            </w:r>
          </w:p>
        </w:tc>
        <w:tc>
          <w:tcPr>
            <w:tcW w:w="924" w:type="dxa"/>
            <w:tcBorders>
              <w:top w:val="single" w:sz="4" w:space="0" w:color="auto"/>
              <w:left w:val="nil"/>
              <w:bottom w:val="single" w:sz="4" w:space="0" w:color="auto"/>
              <w:right w:val="nil"/>
            </w:tcBorders>
            <w:shd w:val="clear" w:color="auto" w:fill="auto"/>
            <w:noWrap/>
            <w:vAlign w:val="bottom"/>
            <w:hideMark/>
          </w:tcPr>
          <w:p w14:paraId="45B71D51" w14:textId="6CD492D5" w:rsidR="001B320B" w:rsidRPr="00424959" w:rsidRDefault="001B320B" w:rsidP="001B320B">
            <w:pPr>
              <w:jc w:val="right"/>
              <w:rPr>
                <w:rFonts w:ascii="Palatino Linotype" w:hAnsi="Palatino Linotype" w:cs="Arial"/>
                <w:sz w:val="22"/>
                <w:szCs w:val="22"/>
              </w:rPr>
            </w:pPr>
            <w:r w:rsidRPr="00A422C0">
              <w:rPr>
                <w:rFonts w:ascii="Palatino Linotype" w:hAnsi="Palatino Linotype" w:cs="Arial"/>
                <w:color w:val="000000" w:themeColor="text1"/>
                <w:sz w:val="22"/>
                <w:szCs w:val="22"/>
              </w:rPr>
              <w:t>2022</w:t>
            </w:r>
          </w:p>
        </w:tc>
        <w:tc>
          <w:tcPr>
            <w:tcW w:w="985" w:type="dxa"/>
            <w:tcBorders>
              <w:top w:val="single" w:sz="4" w:space="0" w:color="auto"/>
              <w:left w:val="nil"/>
              <w:bottom w:val="single" w:sz="4" w:space="0" w:color="auto"/>
              <w:right w:val="nil"/>
            </w:tcBorders>
          </w:tcPr>
          <w:p w14:paraId="1CEC92DB" w14:textId="72EF3A77" w:rsidR="001B320B" w:rsidRPr="00424959" w:rsidRDefault="001B320B" w:rsidP="001B320B">
            <w:pPr>
              <w:ind w:left="-120"/>
              <w:jc w:val="right"/>
              <w:rPr>
                <w:rFonts w:ascii="Palatino Linotype" w:hAnsi="Palatino Linotype" w:cs="Arial"/>
                <w:sz w:val="22"/>
                <w:szCs w:val="22"/>
              </w:rPr>
            </w:pPr>
            <w:r w:rsidRPr="00A422C0">
              <w:rPr>
                <w:rFonts w:ascii="Palatino Linotype" w:hAnsi="Palatino Linotype" w:cs="Arial"/>
                <w:color w:val="000000" w:themeColor="text1"/>
                <w:sz w:val="22"/>
                <w:szCs w:val="22"/>
              </w:rPr>
              <w:t>2023</w:t>
            </w:r>
          </w:p>
        </w:tc>
        <w:tc>
          <w:tcPr>
            <w:tcW w:w="925" w:type="dxa"/>
            <w:tcBorders>
              <w:top w:val="single" w:sz="4" w:space="0" w:color="auto"/>
              <w:left w:val="nil"/>
              <w:bottom w:val="single" w:sz="4" w:space="0" w:color="auto"/>
              <w:right w:val="nil"/>
            </w:tcBorders>
            <w:shd w:val="clear" w:color="auto" w:fill="auto"/>
            <w:noWrap/>
            <w:vAlign w:val="bottom"/>
            <w:hideMark/>
          </w:tcPr>
          <w:p w14:paraId="3ACA9AA6" w14:textId="28B55498" w:rsidR="001B320B" w:rsidRPr="00424959" w:rsidRDefault="001B320B" w:rsidP="001B320B">
            <w:pPr>
              <w:jc w:val="right"/>
              <w:rPr>
                <w:rFonts w:ascii="Palatino Linotype" w:hAnsi="Palatino Linotype" w:cs="Arial"/>
                <w:sz w:val="22"/>
                <w:szCs w:val="22"/>
              </w:rPr>
            </w:pPr>
            <w:r w:rsidRPr="00A422C0">
              <w:rPr>
                <w:rFonts w:ascii="Palatino Linotype" w:hAnsi="Palatino Linotype" w:cs="Arial"/>
                <w:color w:val="000000" w:themeColor="text1"/>
                <w:sz w:val="22"/>
                <w:szCs w:val="22"/>
              </w:rPr>
              <w:t>2024</w:t>
            </w:r>
          </w:p>
        </w:tc>
        <w:tc>
          <w:tcPr>
            <w:tcW w:w="925" w:type="dxa"/>
            <w:tcBorders>
              <w:top w:val="single" w:sz="4" w:space="0" w:color="auto"/>
              <w:left w:val="nil"/>
              <w:bottom w:val="single" w:sz="4" w:space="0" w:color="auto"/>
              <w:right w:val="nil"/>
            </w:tcBorders>
            <w:shd w:val="clear" w:color="auto" w:fill="auto"/>
            <w:noWrap/>
            <w:vAlign w:val="bottom"/>
            <w:hideMark/>
          </w:tcPr>
          <w:p w14:paraId="099BA9E6" w14:textId="41DF26E8" w:rsidR="001B320B" w:rsidRPr="00424959" w:rsidRDefault="001B320B" w:rsidP="001B320B">
            <w:pPr>
              <w:jc w:val="right"/>
              <w:rPr>
                <w:rFonts w:ascii="Palatino Linotype" w:hAnsi="Palatino Linotype" w:cs="Arial"/>
                <w:sz w:val="22"/>
                <w:szCs w:val="22"/>
              </w:rPr>
            </w:pPr>
            <w:r w:rsidRPr="00A422C0">
              <w:rPr>
                <w:rFonts w:ascii="Palatino Linotype" w:hAnsi="Palatino Linotype" w:cs="Arial"/>
                <w:color w:val="000000" w:themeColor="text1"/>
                <w:sz w:val="22"/>
                <w:szCs w:val="22"/>
              </w:rPr>
              <w:t>2025</w:t>
            </w:r>
          </w:p>
        </w:tc>
        <w:tc>
          <w:tcPr>
            <w:tcW w:w="925" w:type="dxa"/>
            <w:tcBorders>
              <w:top w:val="single" w:sz="4" w:space="0" w:color="auto"/>
              <w:left w:val="nil"/>
              <w:bottom w:val="single" w:sz="4" w:space="0" w:color="auto"/>
              <w:right w:val="nil"/>
            </w:tcBorders>
            <w:shd w:val="clear" w:color="auto" w:fill="auto"/>
            <w:noWrap/>
            <w:vAlign w:val="bottom"/>
            <w:hideMark/>
          </w:tcPr>
          <w:p w14:paraId="33D19CFE" w14:textId="5DDE1564" w:rsidR="001B320B" w:rsidRPr="00424959" w:rsidRDefault="001B320B" w:rsidP="001B320B">
            <w:pPr>
              <w:jc w:val="right"/>
              <w:rPr>
                <w:rFonts w:ascii="Palatino Linotype" w:hAnsi="Palatino Linotype" w:cs="Arial"/>
                <w:sz w:val="22"/>
                <w:szCs w:val="22"/>
              </w:rPr>
            </w:pPr>
            <w:r w:rsidRPr="00A422C0">
              <w:rPr>
                <w:rFonts w:ascii="Palatino Linotype" w:hAnsi="Palatino Linotype" w:cs="Arial"/>
                <w:color w:val="000000" w:themeColor="text1"/>
                <w:sz w:val="22"/>
                <w:szCs w:val="22"/>
              </w:rPr>
              <w:t>2026</w:t>
            </w:r>
          </w:p>
        </w:tc>
      </w:tr>
      <w:tr w:rsidR="00F6572F" w:rsidRPr="00040F3F" w14:paraId="4632CE5F" w14:textId="77777777" w:rsidTr="00D520F1">
        <w:trPr>
          <w:trHeight w:val="264"/>
        </w:trPr>
        <w:tc>
          <w:tcPr>
            <w:tcW w:w="4911" w:type="dxa"/>
            <w:tcBorders>
              <w:top w:val="nil"/>
              <w:left w:val="nil"/>
              <w:bottom w:val="nil"/>
              <w:right w:val="nil"/>
            </w:tcBorders>
            <w:shd w:val="clear" w:color="auto" w:fill="auto"/>
            <w:noWrap/>
            <w:vAlign w:val="bottom"/>
          </w:tcPr>
          <w:p w14:paraId="60421A3D" w14:textId="69FE9C5A" w:rsidR="00F6572F" w:rsidRPr="004259E9" w:rsidRDefault="00F6572F" w:rsidP="00F6572F">
            <w:pPr>
              <w:rPr>
                <w:rFonts w:ascii="Palatino Linotype" w:hAnsi="Palatino Linotype" w:cs="Arial"/>
                <w:sz w:val="22"/>
                <w:szCs w:val="22"/>
                <w:highlight w:val="yellow"/>
              </w:rPr>
            </w:pPr>
            <w:r w:rsidRPr="00A422C0">
              <w:rPr>
                <w:rFonts w:ascii="Palatino Linotype" w:hAnsi="Palatino Linotype" w:cs="Arial"/>
                <w:color w:val="000000" w:themeColor="text1"/>
                <w:sz w:val="22"/>
                <w:szCs w:val="22"/>
              </w:rPr>
              <w:t>Revenue changes other state taxes ($, mil.)</w:t>
            </w:r>
          </w:p>
        </w:tc>
        <w:tc>
          <w:tcPr>
            <w:tcW w:w="924" w:type="dxa"/>
            <w:tcBorders>
              <w:top w:val="nil"/>
              <w:left w:val="nil"/>
              <w:bottom w:val="nil"/>
              <w:right w:val="nil"/>
            </w:tcBorders>
            <w:shd w:val="clear" w:color="auto" w:fill="auto"/>
            <w:noWrap/>
            <w:vAlign w:val="bottom"/>
          </w:tcPr>
          <w:p w14:paraId="62F57ED5" w14:textId="5F038C80" w:rsidR="00F6572F" w:rsidRPr="00F6572F" w:rsidRDefault="00F6572F" w:rsidP="00F6572F">
            <w:pPr>
              <w:jc w:val="right"/>
              <w:rPr>
                <w:rFonts w:ascii="Palatino Linotype" w:hAnsi="Palatino Linotype" w:cs="Arial"/>
                <w:sz w:val="22"/>
                <w:szCs w:val="22"/>
              </w:rPr>
            </w:pPr>
            <w:r w:rsidRPr="00F6572F">
              <w:rPr>
                <w:rFonts w:ascii="Palatino Linotype" w:hAnsi="Palatino Linotype" w:cs="Calibri"/>
                <w:color w:val="000000"/>
                <w:sz w:val="22"/>
                <w:szCs w:val="22"/>
              </w:rPr>
              <w:t>-30</w:t>
            </w:r>
          </w:p>
        </w:tc>
        <w:tc>
          <w:tcPr>
            <w:tcW w:w="985" w:type="dxa"/>
            <w:tcBorders>
              <w:top w:val="nil"/>
              <w:left w:val="nil"/>
              <w:bottom w:val="nil"/>
              <w:right w:val="nil"/>
            </w:tcBorders>
            <w:vAlign w:val="bottom"/>
          </w:tcPr>
          <w:p w14:paraId="7F0FA810" w14:textId="66CC0457" w:rsidR="00F6572F" w:rsidRPr="00F6572F" w:rsidRDefault="00F6572F" w:rsidP="00F6572F">
            <w:pPr>
              <w:jc w:val="right"/>
              <w:rPr>
                <w:rFonts w:ascii="Palatino Linotype" w:hAnsi="Palatino Linotype" w:cs="Arial"/>
                <w:sz w:val="22"/>
                <w:szCs w:val="22"/>
              </w:rPr>
            </w:pPr>
            <w:r w:rsidRPr="00F6572F">
              <w:rPr>
                <w:rFonts w:ascii="Palatino Linotype" w:hAnsi="Palatino Linotype" w:cs="Calibri"/>
                <w:color w:val="000000"/>
                <w:sz w:val="22"/>
                <w:szCs w:val="22"/>
              </w:rPr>
              <w:t>-29</w:t>
            </w:r>
          </w:p>
        </w:tc>
        <w:tc>
          <w:tcPr>
            <w:tcW w:w="925" w:type="dxa"/>
            <w:tcBorders>
              <w:top w:val="nil"/>
              <w:left w:val="nil"/>
              <w:bottom w:val="nil"/>
              <w:right w:val="nil"/>
            </w:tcBorders>
            <w:shd w:val="clear" w:color="auto" w:fill="auto"/>
            <w:noWrap/>
            <w:vAlign w:val="bottom"/>
          </w:tcPr>
          <w:p w14:paraId="16AF633A" w14:textId="1E37AC9F" w:rsidR="00F6572F" w:rsidRPr="00F6572F" w:rsidRDefault="00F6572F" w:rsidP="00F6572F">
            <w:pPr>
              <w:jc w:val="right"/>
              <w:rPr>
                <w:rFonts w:ascii="Palatino Linotype" w:hAnsi="Palatino Linotype" w:cs="Arial"/>
                <w:sz w:val="22"/>
                <w:szCs w:val="22"/>
              </w:rPr>
            </w:pPr>
            <w:r w:rsidRPr="00F6572F">
              <w:rPr>
                <w:rFonts w:ascii="Palatino Linotype" w:hAnsi="Palatino Linotype" w:cs="Calibri"/>
                <w:color w:val="000000"/>
                <w:sz w:val="22"/>
                <w:szCs w:val="22"/>
              </w:rPr>
              <w:t>-27</w:t>
            </w:r>
          </w:p>
        </w:tc>
        <w:tc>
          <w:tcPr>
            <w:tcW w:w="925" w:type="dxa"/>
            <w:tcBorders>
              <w:top w:val="nil"/>
              <w:left w:val="nil"/>
              <w:bottom w:val="nil"/>
              <w:right w:val="nil"/>
            </w:tcBorders>
            <w:shd w:val="clear" w:color="auto" w:fill="auto"/>
            <w:noWrap/>
            <w:vAlign w:val="bottom"/>
          </w:tcPr>
          <w:p w14:paraId="617E73D2" w14:textId="0BFD027D" w:rsidR="00F6572F" w:rsidRPr="00F6572F" w:rsidRDefault="00F6572F" w:rsidP="00F6572F">
            <w:pPr>
              <w:jc w:val="right"/>
              <w:rPr>
                <w:rFonts w:ascii="Palatino Linotype" w:hAnsi="Palatino Linotype" w:cs="Arial"/>
                <w:sz w:val="22"/>
                <w:szCs w:val="22"/>
              </w:rPr>
            </w:pPr>
            <w:r w:rsidRPr="00F6572F">
              <w:rPr>
                <w:rFonts w:ascii="Palatino Linotype" w:hAnsi="Palatino Linotype" w:cs="Calibri"/>
                <w:color w:val="000000"/>
                <w:sz w:val="22"/>
                <w:szCs w:val="22"/>
              </w:rPr>
              <w:t>-26</w:t>
            </w:r>
          </w:p>
        </w:tc>
        <w:tc>
          <w:tcPr>
            <w:tcW w:w="925" w:type="dxa"/>
            <w:tcBorders>
              <w:top w:val="nil"/>
              <w:left w:val="nil"/>
              <w:bottom w:val="nil"/>
              <w:right w:val="nil"/>
            </w:tcBorders>
            <w:shd w:val="clear" w:color="auto" w:fill="auto"/>
            <w:noWrap/>
            <w:vAlign w:val="bottom"/>
          </w:tcPr>
          <w:p w14:paraId="4B2E31A1" w14:textId="54530403" w:rsidR="00F6572F" w:rsidRPr="00F6572F" w:rsidRDefault="00F6572F" w:rsidP="00F6572F">
            <w:pPr>
              <w:jc w:val="right"/>
              <w:rPr>
                <w:rFonts w:ascii="Palatino Linotype" w:hAnsi="Palatino Linotype" w:cs="Arial"/>
                <w:sz w:val="22"/>
                <w:szCs w:val="22"/>
              </w:rPr>
            </w:pPr>
            <w:r w:rsidRPr="00F6572F">
              <w:rPr>
                <w:rFonts w:ascii="Palatino Linotype" w:hAnsi="Palatino Linotype" w:cs="Calibri"/>
                <w:color w:val="000000"/>
                <w:sz w:val="22"/>
                <w:szCs w:val="22"/>
              </w:rPr>
              <w:t>-26</w:t>
            </w:r>
          </w:p>
        </w:tc>
      </w:tr>
      <w:tr w:rsidR="00F6572F" w:rsidRPr="00040F3F" w14:paraId="755EF211" w14:textId="77777777" w:rsidTr="00353A4C">
        <w:trPr>
          <w:trHeight w:val="264"/>
        </w:trPr>
        <w:tc>
          <w:tcPr>
            <w:tcW w:w="4911" w:type="dxa"/>
            <w:tcBorders>
              <w:top w:val="nil"/>
              <w:left w:val="nil"/>
              <w:right w:val="nil"/>
            </w:tcBorders>
            <w:shd w:val="clear" w:color="auto" w:fill="auto"/>
            <w:noWrap/>
            <w:vAlign w:val="bottom"/>
          </w:tcPr>
          <w:p w14:paraId="2623E708" w14:textId="198392A6" w:rsidR="00F6572F" w:rsidRPr="004259E9" w:rsidRDefault="00F6572F" w:rsidP="00F6572F">
            <w:pPr>
              <w:rPr>
                <w:rFonts w:ascii="Palatino Linotype" w:hAnsi="Palatino Linotype" w:cs="Arial"/>
                <w:sz w:val="22"/>
                <w:szCs w:val="22"/>
                <w:highlight w:val="yellow"/>
              </w:rPr>
            </w:pPr>
            <w:r w:rsidRPr="00A422C0">
              <w:rPr>
                <w:rFonts w:ascii="Palatino Linotype" w:hAnsi="Palatino Linotype" w:cs="Arial"/>
                <w:color w:val="000000" w:themeColor="text1"/>
                <w:sz w:val="22"/>
                <w:szCs w:val="22"/>
              </w:rPr>
              <w:t>Private employment (jobs)</w:t>
            </w:r>
          </w:p>
        </w:tc>
        <w:tc>
          <w:tcPr>
            <w:tcW w:w="924" w:type="dxa"/>
            <w:tcBorders>
              <w:top w:val="nil"/>
              <w:left w:val="nil"/>
              <w:right w:val="nil"/>
            </w:tcBorders>
            <w:shd w:val="clear" w:color="auto" w:fill="auto"/>
            <w:noWrap/>
            <w:vAlign w:val="bottom"/>
          </w:tcPr>
          <w:p w14:paraId="4A62F38D" w14:textId="0E8F5029" w:rsidR="00F6572F" w:rsidRPr="00F6572F" w:rsidRDefault="00F6572F" w:rsidP="00F6572F">
            <w:pPr>
              <w:jc w:val="right"/>
              <w:rPr>
                <w:rFonts w:ascii="Palatino Linotype" w:hAnsi="Palatino Linotype" w:cs="Arial"/>
                <w:sz w:val="22"/>
                <w:szCs w:val="22"/>
              </w:rPr>
            </w:pPr>
            <w:r w:rsidRPr="00F6572F">
              <w:rPr>
                <w:rFonts w:ascii="Palatino Linotype" w:hAnsi="Palatino Linotype" w:cs="Calibri"/>
                <w:color w:val="000000"/>
                <w:sz w:val="22"/>
                <w:szCs w:val="22"/>
              </w:rPr>
              <w:t>-8</w:t>
            </w:r>
            <w:r w:rsidR="00C5771E">
              <w:rPr>
                <w:rFonts w:ascii="Palatino Linotype" w:hAnsi="Palatino Linotype" w:cs="Calibri"/>
                <w:color w:val="000000"/>
                <w:sz w:val="22"/>
                <w:szCs w:val="22"/>
              </w:rPr>
              <w:t>,</w:t>
            </w:r>
            <w:r w:rsidRPr="00F6572F">
              <w:rPr>
                <w:rFonts w:ascii="Palatino Linotype" w:hAnsi="Palatino Linotype" w:cs="Calibri"/>
                <w:color w:val="000000"/>
                <w:sz w:val="22"/>
                <w:szCs w:val="22"/>
              </w:rPr>
              <w:t>033</w:t>
            </w:r>
          </w:p>
        </w:tc>
        <w:tc>
          <w:tcPr>
            <w:tcW w:w="985" w:type="dxa"/>
            <w:tcBorders>
              <w:top w:val="nil"/>
              <w:left w:val="nil"/>
              <w:right w:val="nil"/>
            </w:tcBorders>
            <w:vAlign w:val="bottom"/>
          </w:tcPr>
          <w:p w14:paraId="5126334D" w14:textId="1B1427A2" w:rsidR="00F6572F" w:rsidRPr="00F6572F" w:rsidRDefault="00F6572F" w:rsidP="00F6572F">
            <w:pPr>
              <w:jc w:val="right"/>
              <w:rPr>
                <w:rFonts w:ascii="Palatino Linotype" w:hAnsi="Palatino Linotype" w:cs="Arial"/>
                <w:sz w:val="22"/>
                <w:szCs w:val="22"/>
              </w:rPr>
            </w:pPr>
            <w:r w:rsidRPr="00F6572F">
              <w:rPr>
                <w:rFonts w:ascii="Palatino Linotype" w:hAnsi="Palatino Linotype" w:cs="Calibri"/>
                <w:color w:val="000000"/>
                <w:sz w:val="22"/>
                <w:szCs w:val="22"/>
              </w:rPr>
              <w:t>-7</w:t>
            </w:r>
            <w:r w:rsidR="00C5771E">
              <w:rPr>
                <w:rFonts w:ascii="Palatino Linotype" w:hAnsi="Palatino Linotype" w:cs="Calibri"/>
                <w:color w:val="000000"/>
                <w:sz w:val="22"/>
                <w:szCs w:val="22"/>
              </w:rPr>
              <w:t>,</w:t>
            </w:r>
            <w:r w:rsidRPr="00F6572F">
              <w:rPr>
                <w:rFonts w:ascii="Palatino Linotype" w:hAnsi="Palatino Linotype" w:cs="Calibri"/>
                <w:color w:val="000000"/>
                <w:sz w:val="22"/>
                <w:szCs w:val="22"/>
              </w:rPr>
              <w:t>834</w:t>
            </w:r>
          </w:p>
        </w:tc>
        <w:tc>
          <w:tcPr>
            <w:tcW w:w="925" w:type="dxa"/>
            <w:tcBorders>
              <w:top w:val="nil"/>
              <w:left w:val="nil"/>
              <w:right w:val="nil"/>
            </w:tcBorders>
            <w:shd w:val="clear" w:color="auto" w:fill="auto"/>
            <w:noWrap/>
            <w:vAlign w:val="bottom"/>
          </w:tcPr>
          <w:p w14:paraId="418AEAF6" w14:textId="60FD99E6" w:rsidR="00F6572F" w:rsidRPr="00F6572F" w:rsidRDefault="00F6572F" w:rsidP="00F6572F">
            <w:pPr>
              <w:jc w:val="right"/>
              <w:rPr>
                <w:rFonts w:ascii="Palatino Linotype" w:hAnsi="Palatino Linotype" w:cs="Arial"/>
                <w:sz w:val="22"/>
                <w:szCs w:val="22"/>
              </w:rPr>
            </w:pPr>
            <w:r w:rsidRPr="00F6572F">
              <w:rPr>
                <w:rFonts w:ascii="Palatino Linotype" w:hAnsi="Palatino Linotype" w:cs="Calibri"/>
                <w:color w:val="000000"/>
                <w:sz w:val="22"/>
                <w:szCs w:val="22"/>
              </w:rPr>
              <w:t>-7</w:t>
            </w:r>
            <w:r w:rsidR="00C5771E">
              <w:rPr>
                <w:rFonts w:ascii="Palatino Linotype" w:hAnsi="Palatino Linotype" w:cs="Calibri"/>
                <w:color w:val="000000"/>
                <w:sz w:val="22"/>
                <w:szCs w:val="22"/>
              </w:rPr>
              <w:t>,</w:t>
            </w:r>
            <w:r w:rsidRPr="00F6572F">
              <w:rPr>
                <w:rFonts w:ascii="Palatino Linotype" w:hAnsi="Palatino Linotype" w:cs="Calibri"/>
                <w:color w:val="000000"/>
                <w:sz w:val="22"/>
                <w:szCs w:val="22"/>
              </w:rPr>
              <w:t>625</w:t>
            </w:r>
          </w:p>
        </w:tc>
        <w:tc>
          <w:tcPr>
            <w:tcW w:w="925" w:type="dxa"/>
            <w:tcBorders>
              <w:top w:val="nil"/>
              <w:left w:val="nil"/>
              <w:right w:val="nil"/>
            </w:tcBorders>
            <w:shd w:val="clear" w:color="auto" w:fill="auto"/>
            <w:noWrap/>
            <w:vAlign w:val="bottom"/>
          </w:tcPr>
          <w:p w14:paraId="0964BEFB" w14:textId="2A11A5A5" w:rsidR="00F6572F" w:rsidRPr="00F6572F" w:rsidRDefault="00F6572F" w:rsidP="00F6572F">
            <w:pPr>
              <w:jc w:val="right"/>
              <w:rPr>
                <w:rFonts w:ascii="Palatino Linotype" w:hAnsi="Palatino Linotype" w:cs="Arial"/>
                <w:sz w:val="22"/>
                <w:szCs w:val="22"/>
              </w:rPr>
            </w:pPr>
            <w:r w:rsidRPr="00F6572F">
              <w:rPr>
                <w:rFonts w:ascii="Palatino Linotype" w:hAnsi="Palatino Linotype" w:cs="Calibri"/>
                <w:color w:val="000000"/>
                <w:sz w:val="22"/>
                <w:szCs w:val="22"/>
              </w:rPr>
              <w:t>-7</w:t>
            </w:r>
            <w:r w:rsidR="00C5771E">
              <w:rPr>
                <w:rFonts w:ascii="Palatino Linotype" w:hAnsi="Palatino Linotype" w:cs="Calibri"/>
                <w:color w:val="000000"/>
                <w:sz w:val="22"/>
                <w:szCs w:val="22"/>
              </w:rPr>
              <w:t>,</w:t>
            </w:r>
            <w:r w:rsidRPr="00F6572F">
              <w:rPr>
                <w:rFonts w:ascii="Palatino Linotype" w:hAnsi="Palatino Linotype" w:cs="Calibri"/>
                <w:color w:val="000000"/>
                <w:sz w:val="22"/>
                <w:szCs w:val="22"/>
              </w:rPr>
              <w:t>390</w:t>
            </w:r>
          </w:p>
        </w:tc>
        <w:tc>
          <w:tcPr>
            <w:tcW w:w="925" w:type="dxa"/>
            <w:tcBorders>
              <w:top w:val="nil"/>
              <w:left w:val="nil"/>
              <w:right w:val="nil"/>
            </w:tcBorders>
            <w:shd w:val="clear" w:color="auto" w:fill="auto"/>
            <w:noWrap/>
            <w:vAlign w:val="bottom"/>
          </w:tcPr>
          <w:p w14:paraId="78FF4DF7" w14:textId="1146127A" w:rsidR="00F6572F" w:rsidRPr="00F6572F" w:rsidRDefault="00F6572F" w:rsidP="00F6572F">
            <w:pPr>
              <w:jc w:val="right"/>
              <w:rPr>
                <w:rFonts w:ascii="Palatino Linotype" w:hAnsi="Palatino Linotype" w:cs="Arial"/>
                <w:sz w:val="22"/>
                <w:szCs w:val="22"/>
              </w:rPr>
            </w:pPr>
            <w:r w:rsidRPr="00F6572F">
              <w:rPr>
                <w:rFonts w:ascii="Palatino Linotype" w:hAnsi="Palatino Linotype" w:cs="Calibri"/>
                <w:color w:val="000000"/>
                <w:sz w:val="22"/>
                <w:szCs w:val="22"/>
              </w:rPr>
              <w:t>-7</w:t>
            </w:r>
            <w:r w:rsidR="00C5771E">
              <w:rPr>
                <w:rFonts w:ascii="Palatino Linotype" w:hAnsi="Palatino Linotype" w:cs="Calibri"/>
                <w:color w:val="000000"/>
                <w:sz w:val="22"/>
                <w:szCs w:val="22"/>
              </w:rPr>
              <w:t>,</w:t>
            </w:r>
            <w:r w:rsidRPr="00F6572F">
              <w:rPr>
                <w:rFonts w:ascii="Palatino Linotype" w:hAnsi="Palatino Linotype" w:cs="Calibri"/>
                <w:color w:val="000000"/>
                <w:sz w:val="22"/>
                <w:szCs w:val="22"/>
              </w:rPr>
              <w:t>116</w:t>
            </w:r>
          </w:p>
        </w:tc>
      </w:tr>
      <w:tr w:rsidR="00F6572F" w:rsidRPr="00040F3F" w14:paraId="4769F7D3" w14:textId="77777777" w:rsidTr="00EA6BCE">
        <w:trPr>
          <w:trHeight w:val="264"/>
        </w:trPr>
        <w:tc>
          <w:tcPr>
            <w:tcW w:w="4911" w:type="dxa"/>
            <w:tcBorders>
              <w:top w:val="nil"/>
              <w:left w:val="nil"/>
              <w:right w:val="nil"/>
            </w:tcBorders>
            <w:shd w:val="clear" w:color="auto" w:fill="auto"/>
            <w:noWrap/>
            <w:vAlign w:val="bottom"/>
          </w:tcPr>
          <w:p w14:paraId="56796166" w14:textId="2A67E62B" w:rsidR="00F6572F" w:rsidRPr="004259E9" w:rsidRDefault="00F6572F" w:rsidP="00F6572F">
            <w:pPr>
              <w:rPr>
                <w:rFonts w:ascii="Palatino Linotype" w:hAnsi="Palatino Linotype" w:cs="Arial"/>
                <w:sz w:val="22"/>
                <w:szCs w:val="22"/>
                <w:highlight w:val="yellow"/>
              </w:rPr>
            </w:pPr>
            <w:r w:rsidRPr="00A422C0">
              <w:rPr>
                <w:rFonts w:ascii="Palatino Linotype" w:hAnsi="Palatino Linotype" w:cs="Arial"/>
                <w:color w:val="000000" w:themeColor="text1"/>
                <w:sz w:val="22"/>
                <w:szCs w:val="22"/>
              </w:rPr>
              <w:t>Investment ($, mil.)</w:t>
            </w:r>
          </w:p>
        </w:tc>
        <w:tc>
          <w:tcPr>
            <w:tcW w:w="924" w:type="dxa"/>
            <w:tcBorders>
              <w:top w:val="nil"/>
              <w:left w:val="nil"/>
              <w:right w:val="nil"/>
            </w:tcBorders>
            <w:shd w:val="clear" w:color="auto" w:fill="auto"/>
            <w:noWrap/>
            <w:vAlign w:val="bottom"/>
          </w:tcPr>
          <w:p w14:paraId="099A5D33" w14:textId="596F9310" w:rsidR="00F6572F" w:rsidRPr="00F6572F" w:rsidRDefault="00F6572F" w:rsidP="00F6572F">
            <w:pPr>
              <w:jc w:val="right"/>
              <w:rPr>
                <w:rFonts w:ascii="Palatino Linotype" w:hAnsi="Palatino Linotype" w:cs="Arial"/>
                <w:sz w:val="22"/>
                <w:szCs w:val="22"/>
              </w:rPr>
            </w:pPr>
            <w:r w:rsidRPr="00F6572F">
              <w:rPr>
                <w:rFonts w:ascii="Palatino Linotype" w:hAnsi="Palatino Linotype" w:cs="Calibri"/>
                <w:color w:val="000000"/>
                <w:sz w:val="22"/>
                <w:szCs w:val="22"/>
              </w:rPr>
              <w:t>-103</w:t>
            </w:r>
          </w:p>
        </w:tc>
        <w:tc>
          <w:tcPr>
            <w:tcW w:w="985" w:type="dxa"/>
            <w:tcBorders>
              <w:top w:val="nil"/>
              <w:left w:val="nil"/>
              <w:right w:val="nil"/>
            </w:tcBorders>
            <w:vAlign w:val="bottom"/>
          </w:tcPr>
          <w:p w14:paraId="01F62A86" w14:textId="77846DD6" w:rsidR="00F6572F" w:rsidRPr="00F6572F" w:rsidRDefault="00F6572F" w:rsidP="00F6572F">
            <w:pPr>
              <w:jc w:val="right"/>
              <w:rPr>
                <w:rFonts w:ascii="Palatino Linotype" w:hAnsi="Palatino Linotype" w:cs="Arial"/>
                <w:sz w:val="22"/>
                <w:szCs w:val="22"/>
              </w:rPr>
            </w:pPr>
            <w:r w:rsidRPr="00F6572F">
              <w:rPr>
                <w:rFonts w:ascii="Palatino Linotype" w:hAnsi="Palatino Linotype" w:cs="Calibri"/>
                <w:color w:val="000000"/>
                <w:sz w:val="22"/>
                <w:szCs w:val="22"/>
              </w:rPr>
              <w:t>-107</w:t>
            </w:r>
          </w:p>
        </w:tc>
        <w:tc>
          <w:tcPr>
            <w:tcW w:w="925" w:type="dxa"/>
            <w:tcBorders>
              <w:top w:val="nil"/>
              <w:left w:val="nil"/>
              <w:right w:val="nil"/>
            </w:tcBorders>
            <w:shd w:val="clear" w:color="auto" w:fill="auto"/>
            <w:noWrap/>
            <w:vAlign w:val="bottom"/>
          </w:tcPr>
          <w:p w14:paraId="5BCA049C" w14:textId="1ACAC92E" w:rsidR="00F6572F" w:rsidRPr="00F6572F" w:rsidRDefault="00F6572F" w:rsidP="00F6572F">
            <w:pPr>
              <w:jc w:val="right"/>
              <w:rPr>
                <w:rFonts w:ascii="Palatino Linotype" w:hAnsi="Palatino Linotype" w:cs="Arial"/>
                <w:sz w:val="22"/>
                <w:szCs w:val="22"/>
              </w:rPr>
            </w:pPr>
            <w:r w:rsidRPr="00F6572F">
              <w:rPr>
                <w:rFonts w:ascii="Palatino Linotype" w:hAnsi="Palatino Linotype" w:cs="Calibri"/>
                <w:color w:val="000000"/>
                <w:sz w:val="22"/>
                <w:szCs w:val="22"/>
              </w:rPr>
              <w:t>-110</w:t>
            </w:r>
          </w:p>
        </w:tc>
        <w:tc>
          <w:tcPr>
            <w:tcW w:w="925" w:type="dxa"/>
            <w:tcBorders>
              <w:top w:val="nil"/>
              <w:left w:val="nil"/>
              <w:right w:val="nil"/>
            </w:tcBorders>
            <w:shd w:val="clear" w:color="auto" w:fill="auto"/>
            <w:noWrap/>
            <w:vAlign w:val="bottom"/>
          </w:tcPr>
          <w:p w14:paraId="701FBBC6" w14:textId="112B22EE" w:rsidR="00F6572F" w:rsidRPr="00F6572F" w:rsidRDefault="00F6572F" w:rsidP="00F6572F">
            <w:pPr>
              <w:jc w:val="right"/>
              <w:rPr>
                <w:rFonts w:ascii="Palatino Linotype" w:hAnsi="Palatino Linotype" w:cs="Arial"/>
                <w:sz w:val="22"/>
                <w:szCs w:val="22"/>
              </w:rPr>
            </w:pPr>
            <w:r w:rsidRPr="00F6572F">
              <w:rPr>
                <w:rFonts w:ascii="Palatino Linotype" w:hAnsi="Palatino Linotype" w:cs="Calibri"/>
                <w:color w:val="000000"/>
                <w:sz w:val="22"/>
                <w:szCs w:val="22"/>
              </w:rPr>
              <w:t>-113</w:t>
            </w:r>
          </w:p>
        </w:tc>
        <w:tc>
          <w:tcPr>
            <w:tcW w:w="925" w:type="dxa"/>
            <w:tcBorders>
              <w:top w:val="nil"/>
              <w:left w:val="nil"/>
              <w:right w:val="nil"/>
            </w:tcBorders>
            <w:shd w:val="clear" w:color="auto" w:fill="auto"/>
            <w:noWrap/>
            <w:vAlign w:val="bottom"/>
          </w:tcPr>
          <w:p w14:paraId="0C738961" w14:textId="5C9EEBCE" w:rsidR="00F6572F" w:rsidRPr="00F6572F" w:rsidRDefault="00F6572F" w:rsidP="00F6572F">
            <w:pPr>
              <w:jc w:val="right"/>
              <w:rPr>
                <w:rFonts w:ascii="Palatino Linotype" w:hAnsi="Palatino Linotype" w:cs="Arial"/>
                <w:sz w:val="22"/>
                <w:szCs w:val="22"/>
              </w:rPr>
            </w:pPr>
            <w:r w:rsidRPr="00F6572F">
              <w:rPr>
                <w:rFonts w:ascii="Palatino Linotype" w:hAnsi="Palatino Linotype" w:cs="Calibri"/>
                <w:color w:val="000000"/>
                <w:sz w:val="22"/>
                <w:szCs w:val="22"/>
              </w:rPr>
              <w:t>-116</w:t>
            </w:r>
          </w:p>
        </w:tc>
      </w:tr>
      <w:tr w:rsidR="00F6572F" w:rsidRPr="00CF1A4B" w14:paraId="6294A091" w14:textId="77777777" w:rsidTr="001B320B">
        <w:trPr>
          <w:trHeight w:val="279"/>
        </w:trPr>
        <w:tc>
          <w:tcPr>
            <w:tcW w:w="4911" w:type="dxa"/>
            <w:tcBorders>
              <w:top w:val="nil"/>
              <w:left w:val="nil"/>
              <w:right w:val="nil"/>
            </w:tcBorders>
            <w:shd w:val="clear" w:color="auto" w:fill="auto"/>
            <w:noWrap/>
            <w:vAlign w:val="bottom"/>
            <w:hideMark/>
          </w:tcPr>
          <w:p w14:paraId="47552C39" w14:textId="49278FC8" w:rsidR="00F6572F" w:rsidRPr="001A5F97" w:rsidRDefault="00F6572F" w:rsidP="00F6572F">
            <w:pPr>
              <w:rPr>
                <w:rFonts w:ascii="Palatino Linotype" w:hAnsi="Palatino Linotype" w:cs="Arial"/>
                <w:sz w:val="22"/>
                <w:szCs w:val="22"/>
              </w:rPr>
            </w:pPr>
            <w:r w:rsidRPr="00A422C0">
              <w:rPr>
                <w:rFonts w:ascii="Palatino Linotype" w:hAnsi="Palatino Linotype" w:cs="Arial"/>
                <w:color w:val="000000" w:themeColor="text1"/>
                <w:sz w:val="22"/>
                <w:szCs w:val="22"/>
              </w:rPr>
              <w:t>Disposable income, real ($, mil.)</w:t>
            </w:r>
          </w:p>
        </w:tc>
        <w:tc>
          <w:tcPr>
            <w:tcW w:w="924" w:type="dxa"/>
            <w:tcBorders>
              <w:top w:val="nil"/>
              <w:left w:val="nil"/>
              <w:right w:val="nil"/>
            </w:tcBorders>
            <w:shd w:val="clear" w:color="auto" w:fill="auto"/>
            <w:noWrap/>
            <w:vAlign w:val="bottom"/>
          </w:tcPr>
          <w:p w14:paraId="298E66FE" w14:textId="5AE71522" w:rsidR="00F6572F" w:rsidRPr="00F6572F" w:rsidRDefault="00F6572F" w:rsidP="00F6572F">
            <w:pPr>
              <w:jc w:val="right"/>
              <w:rPr>
                <w:rFonts w:ascii="Palatino Linotype" w:hAnsi="Palatino Linotype" w:cs="Arial"/>
                <w:sz w:val="22"/>
                <w:szCs w:val="22"/>
              </w:rPr>
            </w:pPr>
            <w:r w:rsidRPr="00F6572F">
              <w:rPr>
                <w:rFonts w:ascii="Palatino Linotype" w:hAnsi="Palatino Linotype" w:cs="Calibri"/>
                <w:color w:val="000000"/>
                <w:sz w:val="22"/>
                <w:szCs w:val="22"/>
              </w:rPr>
              <w:t>-1</w:t>
            </w:r>
            <w:r w:rsidR="00C5771E">
              <w:rPr>
                <w:rFonts w:ascii="Palatino Linotype" w:hAnsi="Palatino Linotype" w:cs="Calibri"/>
                <w:color w:val="000000"/>
                <w:sz w:val="22"/>
                <w:szCs w:val="22"/>
              </w:rPr>
              <w:t>,</w:t>
            </w:r>
            <w:r w:rsidRPr="00F6572F">
              <w:rPr>
                <w:rFonts w:ascii="Palatino Linotype" w:hAnsi="Palatino Linotype" w:cs="Calibri"/>
                <w:color w:val="000000"/>
                <w:sz w:val="22"/>
                <w:szCs w:val="22"/>
              </w:rPr>
              <w:t>439</w:t>
            </w:r>
          </w:p>
        </w:tc>
        <w:tc>
          <w:tcPr>
            <w:tcW w:w="985" w:type="dxa"/>
            <w:tcBorders>
              <w:top w:val="nil"/>
              <w:left w:val="nil"/>
              <w:right w:val="nil"/>
            </w:tcBorders>
            <w:vAlign w:val="bottom"/>
          </w:tcPr>
          <w:p w14:paraId="5711E168" w14:textId="29B84296" w:rsidR="00F6572F" w:rsidRPr="00F6572F" w:rsidRDefault="00F6572F" w:rsidP="00F6572F">
            <w:pPr>
              <w:jc w:val="right"/>
              <w:rPr>
                <w:rFonts w:ascii="Palatino Linotype" w:hAnsi="Palatino Linotype" w:cs="Arial"/>
                <w:sz w:val="22"/>
                <w:szCs w:val="22"/>
              </w:rPr>
            </w:pPr>
            <w:r w:rsidRPr="00F6572F">
              <w:rPr>
                <w:rFonts w:ascii="Palatino Linotype" w:hAnsi="Palatino Linotype" w:cs="Calibri"/>
                <w:color w:val="000000"/>
                <w:sz w:val="22"/>
                <w:szCs w:val="22"/>
              </w:rPr>
              <w:t>-1</w:t>
            </w:r>
            <w:r w:rsidR="00C5771E">
              <w:rPr>
                <w:rFonts w:ascii="Palatino Linotype" w:hAnsi="Palatino Linotype" w:cs="Calibri"/>
                <w:color w:val="000000"/>
                <w:sz w:val="22"/>
                <w:szCs w:val="22"/>
              </w:rPr>
              <w:t>,</w:t>
            </w:r>
            <w:r w:rsidRPr="00F6572F">
              <w:rPr>
                <w:rFonts w:ascii="Palatino Linotype" w:hAnsi="Palatino Linotype" w:cs="Calibri"/>
                <w:color w:val="000000"/>
                <w:sz w:val="22"/>
                <w:szCs w:val="22"/>
              </w:rPr>
              <w:t>500</w:t>
            </w:r>
          </w:p>
        </w:tc>
        <w:tc>
          <w:tcPr>
            <w:tcW w:w="925" w:type="dxa"/>
            <w:tcBorders>
              <w:top w:val="nil"/>
              <w:left w:val="nil"/>
              <w:right w:val="nil"/>
            </w:tcBorders>
            <w:shd w:val="clear" w:color="auto" w:fill="auto"/>
            <w:noWrap/>
            <w:vAlign w:val="bottom"/>
          </w:tcPr>
          <w:p w14:paraId="64014964" w14:textId="221C854C" w:rsidR="00F6572F" w:rsidRPr="00F6572F" w:rsidRDefault="00F6572F" w:rsidP="00F6572F">
            <w:pPr>
              <w:jc w:val="right"/>
              <w:rPr>
                <w:rFonts w:ascii="Palatino Linotype" w:hAnsi="Palatino Linotype" w:cs="Arial"/>
                <w:sz w:val="22"/>
                <w:szCs w:val="22"/>
              </w:rPr>
            </w:pPr>
            <w:r w:rsidRPr="00F6572F">
              <w:rPr>
                <w:rFonts w:ascii="Palatino Linotype" w:hAnsi="Palatino Linotype" w:cs="Calibri"/>
                <w:color w:val="000000"/>
                <w:sz w:val="22"/>
                <w:szCs w:val="22"/>
              </w:rPr>
              <w:t>-1</w:t>
            </w:r>
            <w:r w:rsidR="00C5771E">
              <w:rPr>
                <w:rFonts w:ascii="Palatino Linotype" w:hAnsi="Palatino Linotype" w:cs="Calibri"/>
                <w:color w:val="000000"/>
                <w:sz w:val="22"/>
                <w:szCs w:val="22"/>
              </w:rPr>
              <w:t>,</w:t>
            </w:r>
            <w:r w:rsidRPr="00F6572F">
              <w:rPr>
                <w:rFonts w:ascii="Palatino Linotype" w:hAnsi="Palatino Linotype" w:cs="Calibri"/>
                <w:color w:val="000000"/>
                <w:sz w:val="22"/>
                <w:szCs w:val="22"/>
              </w:rPr>
              <w:t>544</w:t>
            </w:r>
          </w:p>
        </w:tc>
        <w:tc>
          <w:tcPr>
            <w:tcW w:w="925" w:type="dxa"/>
            <w:tcBorders>
              <w:top w:val="nil"/>
              <w:left w:val="nil"/>
              <w:right w:val="nil"/>
            </w:tcBorders>
            <w:shd w:val="clear" w:color="auto" w:fill="auto"/>
            <w:noWrap/>
            <w:vAlign w:val="bottom"/>
          </w:tcPr>
          <w:p w14:paraId="20696FC6" w14:textId="15E7AA01" w:rsidR="00F6572F" w:rsidRPr="00F6572F" w:rsidRDefault="00F6572F" w:rsidP="00F6572F">
            <w:pPr>
              <w:jc w:val="right"/>
              <w:rPr>
                <w:rFonts w:ascii="Palatino Linotype" w:hAnsi="Palatino Linotype" w:cs="Arial"/>
                <w:sz w:val="22"/>
                <w:szCs w:val="22"/>
              </w:rPr>
            </w:pPr>
            <w:r w:rsidRPr="00F6572F">
              <w:rPr>
                <w:rFonts w:ascii="Palatino Linotype" w:hAnsi="Palatino Linotype" w:cs="Calibri"/>
                <w:color w:val="000000"/>
                <w:sz w:val="22"/>
                <w:szCs w:val="22"/>
              </w:rPr>
              <w:t>-1</w:t>
            </w:r>
            <w:r w:rsidR="00C5771E">
              <w:rPr>
                <w:rFonts w:ascii="Palatino Linotype" w:hAnsi="Palatino Linotype" w:cs="Calibri"/>
                <w:color w:val="000000"/>
                <w:sz w:val="22"/>
                <w:szCs w:val="22"/>
              </w:rPr>
              <w:t>,</w:t>
            </w:r>
            <w:r w:rsidRPr="00F6572F">
              <w:rPr>
                <w:rFonts w:ascii="Palatino Linotype" w:hAnsi="Palatino Linotype" w:cs="Calibri"/>
                <w:color w:val="000000"/>
                <w:sz w:val="22"/>
                <w:szCs w:val="22"/>
              </w:rPr>
              <w:t>596</w:t>
            </w:r>
          </w:p>
        </w:tc>
        <w:tc>
          <w:tcPr>
            <w:tcW w:w="925" w:type="dxa"/>
            <w:tcBorders>
              <w:top w:val="nil"/>
              <w:left w:val="nil"/>
              <w:right w:val="nil"/>
            </w:tcBorders>
            <w:shd w:val="clear" w:color="auto" w:fill="auto"/>
            <w:noWrap/>
            <w:vAlign w:val="bottom"/>
          </w:tcPr>
          <w:p w14:paraId="07F1CEBB" w14:textId="6C48A07D" w:rsidR="00F6572F" w:rsidRPr="00F6572F" w:rsidRDefault="00F6572F" w:rsidP="00F6572F">
            <w:pPr>
              <w:jc w:val="right"/>
              <w:rPr>
                <w:rFonts w:ascii="Palatino Linotype" w:hAnsi="Palatino Linotype" w:cs="Arial"/>
                <w:sz w:val="22"/>
                <w:szCs w:val="22"/>
              </w:rPr>
            </w:pPr>
            <w:r w:rsidRPr="00F6572F">
              <w:rPr>
                <w:rFonts w:ascii="Palatino Linotype" w:hAnsi="Palatino Linotype" w:cs="Calibri"/>
                <w:color w:val="000000"/>
                <w:sz w:val="22"/>
                <w:szCs w:val="22"/>
              </w:rPr>
              <w:t>-1</w:t>
            </w:r>
            <w:r w:rsidR="00C5771E">
              <w:rPr>
                <w:rFonts w:ascii="Palatino Linotype" w:hAnsi="Palatino Linotype" w:cs="Calibri"/>
                <w:color w:val="000000"/>
                <w:sz w:val="22"/>
                <w:szCs w:val="22"/>
              </w:rPr>
              <w:t>,</w:t>
            </w:r>
            <w:r w:rsidRPr="00F6572F">
              <w:rPr>
                <w:rFonts w:ascii="Palatino Linotype" w:hAnsi="Palatino Linotype" w:cs="Calibri"/>
                <w:color w:val="000000"/>
                <w:sz w:val="22"/>
                <w:szCs w:val="22"/>
              </w:rPr>
              <w:t>634</w:t>
            </w:r>
          </w:p>
        </w:tc>
      </w:tr>
      <w:tr w:rsidR="00F6572F" w:rsidRPr="00040F3F" w14:paraId="0028B627" w14:textId="77777777" w:rsidTr="001B320B">
        <w:trPr>
          <w:trHeight w:val="252"/>
        </w:trPr>
        <w:tc>
          <w:tcPr>
            <w:tcW w:w="4911" w:type="dxa"/>
            <w:tcBorders>
              <w:top w:val="nil"/>
              <w:left w:val="nil"/>
              <w:bottom w:val="single" w:sz="4" w:space="0" w:color="auto"/>
              <w:right w:val="nil"/>
            </w:tcBorders>
            <w:shd w:val="clear" w:color="auto" w:fill="auto"/>
            <w:noWrap/>
            <w:vAlign w:val="bottom"/>
            <w:hideMark/>
          </w:tcPr>
          <w:p w14:paraId="7AE0C333" w14:textId="483DD52C" w:rsidR="00F6572F" w:rsidRPr="001A5F97" w:rsidRDefault="00F6572F" w:rsidP="00F6572F">
            <w:pPr>
              <w:rPr>
                <w:rFonts w:ascii="Palatino Linotype" w:hAnsi="Palatino Linotype" w:cs="Arial"/>
                <w:sz w:val="22"/>
                <w:szCs w:val="22"/>
              </w:rPr>
            </w:pPr>
            <w:r w:rsidRPr="00A422C0">
              <w:rPr>
                <w:rFonts w:ascii="Palatino Linotype" w:hAnsi="Palatino Linotype" w:cs="Arial"/>
                <w:color w:val="000000" w:themeColor="text1"/>
                <w:sz w:val="22"/>
                <w:szCs w:val="22"/>
              </w:rPr>
              <w:t>Cost per household ($)</w:t>
            </w:r>
          </w:p>
        </w:tc>
        <w:tc>
          <w:tcPr>
            <w:tcW w:w="924" w:type="dxa"/>
            <w:tcBorders>
              <w:top w:val="nil"/>
              <w:left w:val="nil"/>
              <w:bottom w:val="single" w:sz="4" w:space="0" w:color="auto"/>
              <w:right w:val="nil"/>
            </w:tcBorders>
            <w:shd w:val="clear" w:color="auto" w:fill="auto"/>
            <w:noWrap/>
            <w:vAlign w:val="bottom"/>
          </w:tcPr>
          <w:p w14:paraId="1BAD6448" w14:textId="693362FE" w:rsidR="00F6572F" w:rsidRPr="00F6572F" w:rsidRDefault="00F6572F" w:rsidP="00F6572F">
            <w:pPr>
              <w:jc w:val="right"/>
              <w:rPr>
                <w:rFonts w:ascii="Palatino Linotype" w:hAnsi="Palatino Linotype" w:cs="Arial"/>
                <w:sz w:val="22"/>
                <w:szCs w:val="22"/>
              </w:rPr>
            </w:pPr>
            <w:r w:rsidRPr="00F6572F">
              <w:rPr>
                <w:rFonts w:ascii="Palatino Linotype" w:hAnsi="Palatino Linotype" w:cs="Calibri"/>
                <w:color w:val="000000"/>
                <w:sz w:val="22"/>
                <w:szCs w:val="22"/>
              </w:rPr>
              <w:t>460</w:t>
            </w:r>
          </w:p>
        </w:tc>
        <w:tc>
          <w:tcPr>
            <w:tcW w:w="985" w:type="dxa"/>
            <w:tcBorders>
              <w:top w:val="nil"/>
              <w:left w:val="nil"/>
              <w:bottom w:val="single" w:sz="4" w:space="0" w:color="auto"/>
              <w:right w:val="nil"/>
            </w:tcBorders>
            <w:vAlign w:val="bottom"/>
          </w:tcPr>
          <w:p w14:paraId="65ECCF3B" w14:textId="32AD7652" w:rsidR="00F6572F" w:rsidRPr="00F6572F" w:rsidRDefault="00F6572F" w:rsidP="00F6572F">
            <w:pPr>
              <w:jc w:val="right"/>
              <w:rPr>
                <w:rFonts w:ascii="Palatino Linotype" w:hAnsi="Palatino Linotype" w:cs="Arial"/>
                <w:sz w:val="22"/>
                <w:szCs w:val="22"/>
              </w:rPr>
            </w:pPr>
            <w:r w:rsidRPr="00F6572F">
              <w:rPr>
                <w:rFonts w:ascii="Palatino Linotype" w:hAnsi="Palatino Linotype" w:cs="Calibri"/>
                <w:color w:val="000000"/>
                <w:sz w:val="22"/>
                <w:szCs w:val="22"/>
              </w:rPr>
              <w:t>479</w:t>
            </w:r>
          </w:p>
        </w:tc>
        <w:tc>
          <w:tcPr>
            <w:tcW w:w="925" w:type="dxa"/>
            <w:tcBorders>
              <w:top w:val="nil"/>
              <w:left w:val="nil"/>
              <w:bottom w:val="single" w:sz="4" w:space="0" w:color="auto"/>
              <w:right w:val="nil"/>
            </w:tcBorders>
            <w:shd w:val="clear" w:color="auto" w:fill="auto"/>
            <w:noWrap/>
            <w:vAlign w:val="bottom"/>
          </w:tcPr>
          <w:p w14:paraId="48D709A9" w14:textId="0F8C7469" w:rsidR="00F6572F" w:rsidRPr="00F6572F" w:rsidRDefault="00F6572F" w:rsidP="00F6572F">
            <w:pPr>
              <w:jc w:val="right"/>
              <w:rPr>
                <w:rFonts w:ascii="Palatino Linotype" w:hAnsi="Palatino Linotype" w:cs="Arial"/>
                <w:sz w:val="22"/>
                <w:szCs w:val="22"/>
              </w:rPr>
            </w:pPr>
            <w:r w:rsidRPr="00F6572F">
              <w:rPr>
                <w:rFonts w:ascii="Palatino Linotype" w:hAnsi="Palatino Linotype" w:cs="Calibri"/>
                <w:color w:val="000000"/>
                <w:sz w:val="22"/>
                <w:szCs w:val="22"/>
              </w:rPr>
              <w:t>493</w:t>
            </w:r>
          </w:p>
        </w:tc>
        <w:tc>
          <w:tcPr>
            <w:tcW w:w="925" w:type="dxa"/>
            <w:tcBorders>
              <w:top w:val="nil"/>
              <w:left w:val="nil"/>
              <w:bottom w:val="single" w:sz="4" w:space="0" w:color="auto"/>
              <w:right w:val="nil"/>
            </w:tcBorders>
            <w:shd w:val="clear" w:color="auto" w:fill="auto"/>
            <w:noWrap/>
            <w:vAlign w:val="bottom"/>
          </w:tcPr>
          <w:p w14:paraId="7C9A8291" w14:textId="1F70D15A" w:rsidR="00F6572F" w:rsidRPr="00F6572F" w:rsidRDefault="00F6572F" w:rsidP="00F6572F">
            <w:pPr>
              <w:jc w:val="right"/>
              <w:rPr>
                <w:rFonts w:ascii="Palatino Linotype" w:hAnsi="Palatino Linotype" w:cs="Arial"/>
                <w:sz w:val="22"/>
                <w:szCs w:val="22"/>
              </w:rPr>
            </w:pPr>
            <w:r w:rsidRPr="00F6572F">
              <w:rPr>
                <w:rFonts w:ascii="Palatino Linotype" w:hAnsi="Palatino Linotype" w:cs="Calibri"/>
                <w:color w:val="000000"/>
                <w:sz w:val="22"/>
                <w:szCs w:val="22"/>
              </w:rPr>
              <w:t>511</w:t>
            </w:r>
          </w:p>
        </w:tc>
        <w:tc>
          <w:tcPr>
            <w:tcW w:w="925" w:type="dxa"/>
            <w:tcBorders>
              <w:top w:val="nil"/>
              <w:left w:val="nil"/>
              <w:bottom w:val="single" w:sz="4" w:space="0" w:color="auto"/>
              <w:right w:val="nil"/>
            </w:tcBorders>
            <w:shd w:val="clear" w:color="auto" w:fill="auto"/>
            <w:noWrap/>
            <w:vAlign w:val="bottom"/>
          </w:tcPr>
          <w:p w14:paraId="4E8FDD46" w14:textId="3FFF6E00" w:rsidR="00F6572F" w:rsidRPr="00F6572F" w:rsidRDefault="00F6572F" w:rsidP="00F6572F">
            <w:pPr>
              <w:jc w:val="right"/>
              <w:rPr>
                <w:rFonts w:ascii="Palatino Linotype" w:hAnsi="Palatino Linotype" w:cs="Arial"/>
                <w:sz w:val="22"/>
                <w:szCs w:val="22"/>
              </w:rPr>
            </w:pPr>
            <w:r w:rsidRPr="00F6572F">
              <w:rPr>
                <w:rFonts w:ascii="Palatino Linotype" w:hAnsi="Palatino Linotype" w:cs="Calibri"/>
                <w:color w:val="000000"/>
                <w:sz w:val="22"/>
                <w:szCs w:val="22"/>
              </w:rPr>
              <w:t>523</w:t>
            </w:r>
          </w:p>
        </w:tc>
      </w:tr>
      <w:tr w:rsidR="00F6572F" w:rsidRPr="00040F3F" w14:paraId="2CBD6276" w14:textId="77777777" w:rsidTr="001B320B">
        <w:trPr>
          <w:trHeight w:val="264"/>
        </w:trPr>
        <w:tc>
          <w:tcPr>
            <w:tcW w:w="4911" w:type="dxa"/>
            <w:tcBorders>
              <w:top w:val="single" w:sz="4" w:space="0" w:color="auto"/>
              <w:left w:val="nil"/>
              <w:right w:val="nil"/>
            </w:tcBorders>
            <w:shd w:val="clear" w:color="auto" w:fill="auto"/>
            <w:noWrap/>
            <w:vAlign w:val="bottom"/>
            <w:hideMark/>
          </w:tcPr>
          <w:p w14:paraId="34E0A2FA" w14:textId="002EDFF8" w:rsidR="00F6572F" w:rsidRPr="001A5F97" w:rsidRDefault="00F6572F" w:rsidP="00F6572F">
            <w:pPr>
              <w:rPr>
                <w:rFonts w:ascii="Palatino Linotype" w:hAnsi="Palatino Linotype" w:cs="Arial"/>
                <w:sz w:val="22"/>
                <w:szCs w:val="22"/>
              </w:rPr>
            </w:pPr>
            <w:r w:rsidRPr="00A422C0">
              <w:rPr>
                <w:rFonts w:ascii="Palatino Linotype" w:hAnsi="Palatino Linotype" w:cs="Arial"/>
                <w:color w:val="000000" w:themeColor="text1"/>
                <w:sz w:val="22"/>
                <w:szCs w:val="22"/>
              </w:rPr>
              <w:t>Total social cost of TCI ($, mil.)</w:t>
            </w:r>
          </w:p>
        </w:tc>
        <w:tc>
          <w:tcPr>
            <w:tcW w:w="924" w:type="dxa"/>
            <w:tcBorders>
              <w:top w:val="single" w:sz="4" w:space="0" w:color="auto"/>
              <w:left w:val="nil"/>
              <w:right w:val="nil"/>
            </w:tcBorders>
            <w:shd w:val="clear" w:color="auto" w:fill="auto"/>
            <w:noWrap/>
            <w:vAlign w:val="bottom"/>
          </w:tcPr>
          <w:p w14:paraId="28D91C20" w14:textId="3D8374C2" w:rsidR="00F6572F" w:rsidRPr="00F6572F" w:rsidRDefault="00F6572F" w:rsidP="00F6572F">
            <w:pPr>
              <w:jc w:val="right"/>
              <w:rPr>
                <w:rFonts w:ascii="Palatino Linotype" w:hAnsi="Palatino Linotype" w:cs="Arial"/>
                <w:sz w:val="22"/>
                <w:szCs w:val="22"/>
              </w:rPr>
            </w:pPr>
            <w:r w:rsidRPr="00F6572F">
              <w:rPr>
                <w:rFonts w:ascii="Palatino Linotype" w:hAnsi="Palatino Linotype" w:cs="Calibri"/>
                <w:color w:val="000000"/>
                <w:sz w:val="22"/>
                <w:szCs w:val="22"/>
              </w:rPr>
              <w:t>675</w:t>
            </w:r>
          </w:p>
        </w:tc>
        <w:tc>
          <w:tcPr>
            <w:tcW w:w="985" w:type="dxa"/>
            <w:tcBorders>
              <w:top w:val="single" w:sz="4" w:space="0" w:color="auto"/>
              <w:left w:val="nil"/>
              <w:right w:val="nil"/>
            </w:tcBorders>
            <w:vAlign w:val="bottom"/>
          </w:tcPr>
          <w:p w14:paraId="2C18CE8B" w14:textId="1918AF60" w:rsidR="00F6572F" w:rsidRPr="00F6572F" w:rsidRDefault="00F6572F" w:rsidP="00F6572F">
            <w:pPr>
              <w:jc w:val="right"/>
              <w:rPr>
                <w:rFonts w:ascii="Palatino Linotype" w:hAnsi="Palatino Linotype" w:cs="Arial"/>
                <w:sz w:val="22"/>
                <w:szCs w:val="22"/>
              </w:rPr>
            </w:pPr>
            <w:r w:rsidRPr="00F6572F">
              <w:rPr>
                <w:rFonts w:ascii="Palatino Linotype" w:hAnsi="Palatino Linotype" w:cs="Calibri"/>
                <w:color w:val="000000"/>
                <w:sz w:val="22"/>
                <w:szCs w:val="22"/>
              </w:rPr>
              <w:t>657</w:t>
            </w:r>
          </w:p>
        </w:tc>
        <w:tc>
          <w:tcPr>
            <w:tcW w:w="925" w:type="dxa"/>
            <w:tcBorders>
              <w:top w:val="single" w:sz="4" w:space="0" w:color="auto"/>
              <w:left w:val="nil"/>
              <w:right w:val="nil"/>
            </w:tcBorders>
            <w:shd w:val="clear" w:color="auto" w:fill="auto"/>
            <w:noWrap/>
            <w:vAlign w:val="bottom"/>
          </w:tcPr>
          <w:p w14:paraId="4EB878F2" w14:textId="777936FC" w:rsidR="00F6572F" w:rsidRPr="00F6572F" w:rsidRDefault="00F6572F" w:rsidP="00F6572F">
            <w:pPr>
              <w:jc w:val="right"/>
              <w:rPr>
                <w:rFonts w:ascii="Palatino Linotype" w:hAnsi="Palatino Linotype" w:cs="Arial"/>
                <w:sz w:val="22"/>
                <w:szCs w:val="22"/>
              </w:rPr>
            </w:pPr>
            <w:r w:rsidRPr="00F6572F">
              <w:rPr>
                <w:rFonts w:ascii="Palatino Linotype" w:hAnsi="Palatino Linotype" w:cs="Calibri"/>
                <w:color w:val="000000"/>
                <w:sz w:val="22"/>
                <w:szCs w:val="22"/>
              </w:rPr>
              <w:t>632</w:t>
            </w:r>
          </w:p>
        </w:tc>
        <w:tc>
          <w:tcPr>
            <w:tcW w:w="925" w:type="dxa"/>
            <w:tcBorders>
              <w:top w:val="single" w:sz="4" w:space="0" w:color="auto"/>
              <w:left w:val="nil"/>
              <w:right w:val="nil"/>
            </w:tcBorders>
            <w:shd w:val="clear" w:color="auto" w:fill="auto"/>
            <w:noWrap/>
            <w:vAlign w:val="bottom"/>
          </w:tcPr>
          <w:p w14:paraId="1604BC93" w14:textId="1A9014C2" w:rsidR="00F6572F" w:rsidRPr="00F6572F" w:rsidRDefault="00F6572F" w:rsidP="00F6572F">
            <w:pPr>
              <w:jc w:val="right"/>
              <w:rPr>
                <w:rFonts w:ascii="Palatino Linotype" w:hAnsi="Palatino Linotype" w:cs="Arial"/>
                <w:sz w:val="22"/>
                <w:szCs w:val="22"/>
              </w:rPr>
            </w:pPr>
            <w:r w:rsidRPr="00F6572F">
              <w:rPr>
                <w:rFonts w:ascii="Palatino Linotype" w:hAnsi="Palatino Linotype" w:cs="Calibri"/>
                <w:color w:val="000000"/>
                <w:sz w:val="22"/>
                <w:szCs w:val="22"/>
              </w:rPr>
              <w:t>611</w:t>
            </w:r>
          </w:p>
        </w:tc>
        <w:tc>
          <w:tcPr>
            <w:tcW w:w="925" w:type="dxa"/>
            <w:tcBorders>
              <w:top w:val="single" w:sz="4" w:space="0" w:color="auto"/>
              <w:left w:val="nil"/>
              <w:right w:val="nil"/>
            </w:tcBorders>
            <w:shd w:val="clear" w:color="auto" w:fill="auto"/>
            <w:noWrap/>
            <w:vAlign w:val="bottom"/>
          </w:tcPr>
          <w:p w14:paraId="4EC31304" w14:textId="54B5FC34" w:rsidR="00F6572F" w:rsidRPr="00F6572F" w:rsidRDefault="00F6572F" w:rsidP="00F6572F">
            <w:pPr>
              <w:jc w:val="right"/>
              <w:rPr>
                <w:rFonts w:ascii="Palatino Linotype" w:hAnsi="Palatino Linotype" w:cs="Arial"/>
                <w:sz w:val="22"/>
                <w:szCs w:val="22"/>
              </w:rPr>
            </w:pPr>
            <w:r w:rsidRPr="00F6572F">
              <w:rPr>
                <w:rFonts w:ascii="Palatino Linotype" w:hAnsi="Palatino Linotype" w:cs="Calibri"/>
                <w:color w:val="000000"/>
                <w:sz w:val="22"/>
                <w:szCs w:val="22"/>
              </w:rPr>
              <w:t>596</w:t>
            </w:r>
          </w:p>
        </w:tc>
      </w:tr>
      <w:tr w:rsidR="00F6572F" w:rsidRPr="00040F3F" w14:paraId="7C50DDD8" w14:textId="77777777" w:rsidTr="00D520F1">
        <w:trPr>
          <w:trHeight w:val="264"/>
        </w:trPr>
        <w:tc>
          <w:tcPr>
            <w:tcW w:w="4911" w:type="dxa"/>
            <w:tcBorders>
              <w:left w:val="nil"/>
              <w:right w:val="nil"/>
            </w:tcBorders>
            <w:shd w:val="clear" w:color="auto" w:fill="auto"/>
            <w:noWrap/>
            <w:vAlign w:val="bottom"/>
          </w:tcPr>
          <w:p w14:paraId="787712D1" w14:textId="261EAF17" w:rsidR="00F6572F" w:rsidRPr="001A5F97" w:rsidRDefault="00F6572F" w:rsidP="00F6572F">
            <w:pPr>
              <w:rPr>
                <w:rFonts w:ascii="Palatino Linotype" w:hAnsi="Palatino Linotype" w:cs="Arial"/>
                <w:sz w:val="22"/>
                <w:szCs w:val="22"/>
              </w:rPr>
            </w:pPr>
            <w:r w:rsidRPr="00A422C0">
              <w:rPr>
                <w:rFonts w:ascii="Palatino Linotype" w:hAnsi="Palatino Linotype" w:cs="Arial"/>
                <w:color w:val="000000" w:themeColor="text1"/>
                <w:sz w:val="22"/>
                <w:szCs w:val="22"/>
              </w:rPr>
              <w:t>Total social benefits of TCI ($, mil.)</w:t>
            </w:r>
          </w:p>
        </w:tc>
        <w:tc>
          <w:tcPr>
            <w:tcW w:w="924" w:type="dxa"/>
            <w:tcBorders>
              <w:left w:val="nil"/>
              <w:right w:val="nil"/>
            </w:tcBorders>
            <w:shd w:val="clear" w:color="auto" w:fill="auto"/>
            <w:noWrap/>
            <w:vAlign w:val="center"/>
          </w:tcPr>
          <w:p w14:paraId="0B19E6D9" w14:textId="63654DD0" w:rsidR="00F6572F" w:rsidRPr="00F6572F" w:rsidRDefault="00F6572F" w:rsidP="00F6572F">
            <w:pPr>
              <w:jc w:val="right"/>
              <w:rPr>
                <w:rFonts w:ascii="Palatino Linotype" w:hAnsi="Palatino Linotype" w:cs="Arial"/>
                <w:sz w:val="22"/>
                <w:szCs w:val="22"/>
              </w:rPr>
            </w:pPr>
            <w:r w:rsidRPr="00F6572F">
              <w:rPr>
                <w:rFonts w:ascii="Palatino Linotype" w:hAnsi="Palatino Linotype" w:cs="Calibri"/>
                <w:color w:val="000000" w:themeColor="text1"/>
                <w:sz w:val="22"/>
                <w:szCs w:val="22"/>
              </w:rPr>
              <w:t>22</w:t>
            </w:r>
          </w:p>
        </w:tc>
        <w:tc>
          <w:tcPr>
            <w:tcW w:w="985" w:type="dxa"/>
            <w:tcBorders>
              <w:left w:val="nil"/>
              <w:right w:val="nil"/>
            </w:tcBorders>
            <w:vAlign w:val="center"/>
          </w:tcPr>
          <w:p w14:paraId="7BB9BD50" w14:textId="4B0F3D85" w:rsidR="00F6572F" w:rsidRPr="00F6572F" w:rsidRDefault="00F6572F" w:rsidP="00F6572F">
            <w:pPr>
              <w:jc w:val="right"/>
              <w:rPr>
                <w:rFonts w:ascii="Palatino Linotype" w:hAnsi="Palatino Linotype" w:cs="Arial"/>
                <w:sz w:val="22"/>
                <w:szCs w:val="22"/>
              </w:rPr>
            </w:pPr>
            <w:r w:rsidRPr="00F6572F">
              <w:rPr>
                <w:rFonts w:ascii="Palatino Linotype" w:hAnsi="Palatino Linotype" w:cs="Calibri"/>
                <w:color w:val="000000" w:themeColor="text1"/>
                <w:sz w:val="22"/>
                <w:szCs w:val="22"/>
              </w:rPr>
              <w:t>22</w:t>
            </w:r>
          </w:p>
        </w:tc>
        <w:tc>
          <w:tcPr>
            <w:tcW w:w="925" w:type="dxa"/>
            <w:tcBorders>
              <w:left w:val="nil"/>
              <w:right w:val="nil"/>
            </w:tcBorders>
            <w:shd w:val="clear" w:color="auto" w:fill="auto"/>
            <w:noWrap/>
            <w:vAlign w:val="center"/>
          </w:tcPr>
          <w:p w14:paraId="1FA0A5E4" w14:textId="05E4DA9F" w:rsidR="00F6572F" w:rsidRPr="00F6572F" w:rsidRDefault="00F6572F" w:rsidP="00F6572F">
            <w:pPr>
              <w:jc w:val="right"/>
              <w:rPr>
                <w:rFonts w:ascii="Palatino Linotype" w:hAnsi="Palatino Linotype" w:cs="Arial"/>
                <w:sz w:val="22"/>
                <w:szCs w:val="22"/>
              </w:rPr>
            </w:pPr>
            <w:r w:rsidRPr="00F6572F">
              <w:rPr>
                <w:rFonts w:ascii="Palatino Linotype" w:hAnsi="Palatino Linotype" w:cs="Calibri"/>
                <w:color w:val="000000" w:themeColor="text1"/>
                <w:sz w:val="22"/>
                <w:szCs w:val="22"/>
              </w:rPr>
              <w:t>23</w:t>
            </w:r>
          </w:p>
        </w:tc>
        <w:tc>
          <w:tcPr>
            <w:tcW w:w="925" w:type="dxa"/>
            <w:tcBorders>
              <w:left w:val="nil"/>
              <w:right w:val="nil"/>
            </w:tcBorders>
            <w:shd w:val="clear" w:color="auto" w:fill="auto"/>
            <w:noWrap/>
            <w:vAlign w:val="center"/>
          </w:tcPr>
          <w:p w14:paraId="7108F12B" w14:textId="1E1A7570" w:rsidR="00F6572F" w:rsidRPr="00F6572F" w:rsidRDefault="00F6572F" w:rsidP="00F6572F">
            <w:pPr>
              <w:jc w:val="right"/>
              <w:rPr>
                <w:rFonts w:ascii="Palatino Linotype" w:hAnsi="Palatino Linotype" w:cs="Arial"/>
                <w:sz w:val="22"/>
                <w:szCs w:val="22"/>
              </w:rPr>
            </w:pPr>
            <w:r w:rsidRPr="00F6572F">
              <w:rPr>
                <w:rFonts w:ascii="Palatino Linotype" w:hAnsi="Palatino Linotype" w:cs="Calibri"/>
                <w:color w:val="000000" w:themeColor="text1"/>
                <w:sz w:val="22"/>
                <w:szCs w:val="22"/>
              </w:rPr>
              <w:t>23</w:t>
            </w:r>
          </w:p>
        </w:tc>
        <w:tc>
          <w:tcPr>
            <w:tcW w:w="925" w:type="dxa"/>
            <w:tcBorders>
              <w:left w:val="nil"/>
              <w:right w:val="nil"/>
            </w:tcBorders>
            <w:shd w:val="clear" w:color="auto" w:fill="auto"/>
            <w:noWrap/>
            <w:vAlign w:val="center"/>
          </w:tcPr>
          <w:p w14:paraId="7F18FA8D" w14:textId="4FECD12A" w:rsidR="00F6572F" w:rsidRPr="00F6572F" w:rsidRDefault="00F6572F" w:rsidP="00F6572F">
            <w:pPr>
              <w:jc w:val="right"/>
              <w:rPr>
                <w:rFonts w:ascii="Palatino Linotype" w:hAnsi="Palatino Linotype" w:cs="Arial"/>
                <w:sz w:val="22"/>
                <w:szCs w:val="22"/>
              </w:rPr>
            </w:pPr>
            <w:r w:rsidRPr="00F6572F">
              <w:rPr>
                <w:rFonts w:ascii="Palatino Linotype" w:hAnsi="Palatino Linotype" w:cs="Calibri"/>
                <w:color w:val="000000" w:themeColor="text1"/>
                <w:sz w:val="22"/>
                <w:szCs w:val="22"/>
              </w:rPr>
              <w:t>24</w:t>
            </w:r>
          </w:p>
        </w:tc>
      </w:tr>
      <w:tr w:rsidR="00F6572F" w:rsidRPr="00040F3F" w14:paraId="7351AB71" w14:textId="77777777" w:rsidTr="001B320B">
        <w:trPr>
          <w:trHeight w:val="264"/>
        </w:trPr>
        <w:tc>
          <w:tcPr>
            <w:tcW w:w="4911" w:type="dxa"/>
            <w:tcBorders>
              <w:left w:val="nil"/>
              <w:bottom w:val="single" w:sz="4" w:space="0" w:color="auto"/>
              <w:right w:val="nil"/>
            </w:tcBorders>
            <w:shd w:val="clear" w:color="auto" w:fill="auto"/>
            <w:noWrap/>
            <w:vAlign w:val="bottom"/>
          </w:tcPr>
          <w:p w14:paraId="455B9397" w14:textId="28B66885" w:rsidR="00F6572F" w:rsidRPr="008E26CE" w:rsidRDefault="00F6572F" w:rsidP="00F6572F">
            <w:pPr>
              <w:rPr>
                <w:rFonts w:ascii="Palatino Linotype" w:hAnsi="Palatino Linotype" w:cs="Arial"/>
                <w:sz w:val="22"/>
                <w:szCs w:val="22"/>
              </w:rPr>
            </w:pPr>
            <w:r w:rsidRPr="00A422C0">
              <w:rPr>
                <w:rFonts w:ascii="Palatino Linotype" w:hAnsi="Palatino Linotype" w:cs="Arial"/>
                <w:color w:val="000000" w:themeColor="text1"/>
                <w:sz w:val="22"/>
                <w:szCs w:val="22"/>
              </w:rPr>
              <w:t>Net benefits (-cost) of TCI ($, mil.)</w:t>
            </w:r>
          </w:p>
        </w:tc>
        <w:tc>
          <w:tcPr>
            <w:tcW w:w="924" w:type="dxa"/>
            <w:tcBorders>
              <w:left w:val="nil"/>
              <w:bottom w:val="single" w:sz="4" w:space="0" w:color="auto"/>
              <w:right w:val="nil"/>
            </w:tcBorders>
            <w:shd w:val="clear" w:color="auto" w:fill="auto"/>
            <w:noWrap/>
            <w:vAlign w:val="bottom"/>
          </w:tcPr>
          <w:p w14:paraId="6539E5E3" w14:textId="4FB18FE4" w:rsidR="00F6572F" w:rsidRPr="00F6572F" w:rsidRDefault="00F6572F" w:rsidP="00F6572F">
            <w:pPr>
              <w:jc w:val="right"/>
              <w:rPr>
                <w:rFonts w:ascii="Palatino Linotype" w:hAnsi="Palatino Linotype" w:cs="Arial"/>
                <w:sz w:val="22"/>
                <w:szCs w:val="22"/>
              </w:rPr>
            </w:pPr>
            <w:r w:rsidRPr="00F6572F">
              <w:rPr>
                <w:rFonts w:ascii="Palatino Linotype" w:hAnsi="Palatino Linotype" w:cs="Calibri"/>
                <w:color w:val="000000"/>
                <w:sz w:val="22"/>
                <w:szCs w:val="22"/>
              </w:rPr>
              <w:t>-653</w:t>
            </w:r>
          </w:p>
        </w:tc>
        <w:tc>
          <w:tcPr>
            <w:tcW w:w="985" w:type="dxa"/>
            <w:tcBorders>
              <w:left w:val="nil"/>
              <w:bottom w:val="single" w:sz="4" w:space="0" w:color="auto"/>
              <w:right w:val="nil"/>
            </w:tcBorders>
            <w:vAlign w:val="bottom"/>
          </w:tcPr>
          <w:p w14:paraId="79353417" w14:textId="4F9B6F1F" w:rsidR="00F6572F" w:rsidRPr="00F6572F" w:rsidRDefault="00F6572F" w:rsidP="00F6572F">
            <w:pPr>
              <w:jc w:val="right"/>
              <w:rPr>
                <w:rFonts w:ascii="Palatino Linotype" w:hAnsi="Palatino Linotype" w:cs="Arial"/>
                <w:sz w:val="22"/>
                <w:szCs w:val="22"/>
              </w:rPr>
            </w:pPr>
            <w:r w:rsidRPr="00F6572F">
              <w:rPr>
                <w:rFonts w:ascii="Palatino Linotype" w:hAnsi="Palatino Linotype" w:cs="Calibri"/>
                <w:color w:val="000000"/>
                <w:sz w:val="22"/>
                <w:szCs w:val="22"/>
              </w:rPr>
              <w:t>-635</w:t>
            </w:r>
          </w:p>
        </w:tc>
        <w:tc>
          <w:tcPr>
            <w:tcW w:w="925" w:type="dxa"/>
            <w:tcBorders>
              <w:left w:val="nil"/>
              <w:bottom w:val="single" w:sz="4" w:space="0" w:color="auto"/>
              <w:right w:val="nil"/>
            </w:tcBorders>
            <w:shd w:val="clear" w:color="auto" w:fill="auto"/>
            <w:noWrap/>
            <w:vAlign w:val="bottom"/>
          </w:tcPr>
          <w:p w14:paraId="091C5583" w14:textId="1BD0064B" w:rsidR="00F6572F" w:rsidRPr="00F6572F" w:rsidRDefault="00F6572F" w:rsidP="00F6572F">
            <w:pPr>
              <w:jc w:val="right"/>
              <w:rPr>
                <w:rFonts w:ascii="Palatino Linotype" w:hAnsi="Palatino Linotype" w:cs="Arial"/>
                <w:sz w:val="22"/>
                <w:szCs w:val="22"/>
              </w:rPr>
            </w:pPr>
            <w:r w:rsidRPr="00F6572F">
              <w:rPr>
                <w:rFonts w:ascii="Palatino Linotype" w:hAnsi="Palatino Linotype" w:cs="Calibri"/>
                <w:color w:val="000000"/>
                <w:sz w:val="22"/>
                <w:szCs w:val="22"/>
              </w:rPr>
              <w:t>-609</w:t>
            </w:r>
          </w:p>
        </w:tc>
        <w:tc>
          <w:tcPr>
            <w:tcW w:w="925" w:type="dxa"/>
            <w:tcBorders>
              <w:left w:val="nil"/>
              <w:bottom w:val="single" w:sz="4" w:space="0" w:color="auto"/>
              <w:right w:val="nil"/>
            </w:tcBorders>
            <w:shd w:val="clear" w:color="auto" w:fill="auto"/>
            <w:noWrap/>
            <w:vAlign w:val="bottom"/>
          </w:tcPr>
          <w:p w14:paraId="1F093F82" w14:textId="66E11DFF" w:rsidR="00F6572F" w:rsidRPr="00F6572F" w:rsidRDefault="00F6572F" w:rsidP="00F6572F">
            <w:pPr>
              <w:jc w:val="right"/>
              <w:rPr>
                <w:rFonts w:ascii="Palatino Linotype" w:hAnsi="Palatino Linotype" w:cs="Arial"/>
                <w:sz w:val="22"/>
                <w:szCs w:val="22"/>
              </w:rPr>
            </w:pPr>
            <w:r w:rsidRPr="00F6572F">
              <w:rPr>
                <w:rFonts w:ascii="Palatino Linotype" w:hAnsi="Palatino Linotype" w:cs="Calibri"/>
                <w:color w:val="000000"/>
                <w:sz w:val="22"/>
                <w:szCs w:val="22"/>
              </w:rPr>
              <w:t>-588</w:t>
            </w:r>
          </w:p>
        </w:tc>
        <w:tc>
          <w:tcPr>
            <w:tcW w:w="925" w:type="dxa"/>
            <w:tcBorders>
              <w:left w:val="nil"/>
              <w:bottom w:val="single" w:sz="4" w:space="0" w:color="auto"/>
              <w:right w:val="nil"/>
            </w:tcBorders>
            <w:shd w:val="clear" w:color="auto" w:fill="auto"/>
            <w:noWrap/>
            <w:vAlign w:val="bottom"/>
          </w:tcPr>
          <w:p w14:paraId="40D62B8E" w14:textId="2EF51AD2" w:rsidR="00F6572F" w:rsidRPr="00F6572F" w:rsidRDefault="00F6572F" w:rsidP="00F6572F">
            <w:pPr>
              <w:jc w:val="right"/>
              <w:rPr>
                <w:rFonts w:ascii="Palatino Linotype" w:hAnsi="Palatino Linotype" w:cs="Arial"/>
                <w:sz w:val="22"/>
                <w:szCs w:val="22"/>
              </w:rPr>
            </w:pPr>
            <w:r w:rsidRPr="00F6572F">
              <w:rPr>
                <w:rFonts w:ascii="Palatino Linotype" w:hAnsi="Palatino Linotype" w:cs="Calibri"/>
                <w:color w:val="000000"/>
                <w:sz w:val="22"/>
                <w:szCs w:val="22"/>
              </w:rPr>
              <w:t>-572</w:t>
            </w:r>
          </w:p>
        </w:tc>
      </w:tr>
    </w:tbl>
    <w:p w14:paraId="43F30A51" w14:textId="77777777" w:rsidR="000B2682" w:rsidRDefault="000B2682" w:rsidP="000B2682">
      <w:pPr>
        <w:spacing w:line="360" w:lineRule="auto"/>
        <w:jc w:val="both"/>
        <w:rPr>
          <w:rFonts w:ascii="Palatino Linotype" w:hAnsi="Palatino Linotype"/>
          <w:noProof/>
        </w:rPr>
      </w:pPr>
    </w:p>
    <w:p w14:paraId="0D9A4172" w14:textId="23718DEB" w:rsidR="00677045" w:rsidRPr="00677045" w:rsidRDefault="00340224" w:rsidP="004F5A1B">
      <w:pPr>
        <w:spacing w:line="360" w:lineRule="auto"/>
        <w:ind w:firstLine="720"/>
        <w:jc w:val="both"/>
        <w:rPr>
          <w:rFonts w:ascii="Palatino Linotype" w:hAnsi="Palatino Linotype"/>
        </w:rPr>
      </w:pPr>
      <w:r w:rsidRPr="00677045">
        <w:rPr>
          <w:rFonts w:ascii="Palatino Linotype" w:hAnsi="Palatino Linotype"/>
          <w:noProof/>
        </w:rPr>
        <w:t xml:space="preserve">Table </w:t>
      </w:r>
      <w:r w:rsidR="009F3913">
        <w:rPr>
          <w:rFonts w:ascii="Palatino Linotype" w:hAnsi="Palatino Linotype"/>
          <w:noProof/>
        </w:rPr>
        <w:t>5</w:t>
      </w:r>
      <w:r w:rsidRPr="00677045">
        <w:rPr>
          <w:rFonts w:ascii="Palatino Linotype" w:hAnsi="Palatino Linotype"/>
          <w:noProof/>
        </w:rPr>
        <w:t xml:space="preserve"> shows that a 22</w:t>
      </w:r>
      <w:r w:rsidR="00F646ED">
        <w:rPr>
          <w:rFonts w:ascii="Palatino Linotype" w:hAnsi="Palatino Linotype"/>
          <w:noProof/>
        </w:rPr>
        <w:t>.5</w:t>
      </w:r>
      <w:r w:rsidRPr="00677045">
        <w:rPr>
          <w:rFonts w:ascii="Palatino Linotype" w:hAnsi="Palatino Linotype"/>
          <w:noProof/>
        </w:rPr>
        <w:t xml:space="preserve"> percent emissions cap would reduce investment by $</w:t>
      </w:r>
      <w:r w:rsidR="009F3913">
        <w:rPr>
          <w:rFonts w:ascii="Palatino Linotype" w:hAnsi="Palatino Linotype"/>
          <w:noProof/>
        </w:rPr>
        <w:t>12</w:t>
      </w:r>
      <w:r w:rsidR="001D68E2">
        <w:rPr>
          <w:rFonts w:ascii="Palatino Linotype" w:hAnsi="Palatino Linotype"/>
          <w:noProof/>
        </w:rPr>
        <w:t>1</w:t>
      </w:r>
      <w:r w:rsidRPr="00677045">
        <w:rPr>
          <w:rFonts w:ascii="Palatino Linotype" w:hAnsi="Palatino Linotype"/>
          <w:noProof/>
        </w:rPr>
        <w:t xml:space="preserve"> million, disposable income by $</w:t>
      </w:r>
      <w:r w:rsidR="008C2777">
        <w:rPr>
          <w:rFonts w:ascii="Palatino Linotype" w:hAnsi="Palatino Linotype"/>
          <w:noProof/>
        </w:rPr>
        <w:t>1,</w:t>
      </w:r>
      <w:r w:rsidR="009F3913">
        <w:rPr>
          <w:rFonts w:ascii="Palatino Linotype" w:hAnsi="Palatino Linotype"/>
          <w:noProof/>
        </w:rPr>
        <w:t>6</w:t>
      </w:r>
      <w:r w:rsidR="001D68E2">
        <w:rPr>
          <w:rFonts w:ascii="Palatino Linotype" w:hAnsi="Palatino Linotype"/>
          <w:noProof/>
        </w:rPr>
        <w:t>91</w:t>
      </w:r>
      <w:r w:rsidRPr="00677045">
        <w:rPr>
          <w:rFonts w:ascii="Palatino Linotype" w:hAnsi="Palatino Linotype"/>
          <w:noProof/>
        </w:rPr>
        <w:t xml:space="preserve"> million, and private employment by </w:t>
      </w:r>
      <w:r w:rsidR="009F3913">
        <w:rPr>
          <w:rFonts w:ascii="Palatino Linotype" w:hAnsi="Palatino Linotype"/>
          <w:noProof/>
        </w:rPr>
        <w:t>9,</w:t>
      </w:r>
      <w:r w:rsidR="001D68E2">
        <w:rPr>
          <w:rFonts w:ascii="Palatino Linotype" w:hAnsi="Palatino Linotype"/>
          <w:noProof/>
        </w:rPr>
        <w:t>444</w:t>
      </w:r>
      <w:r w:rsidRPr="00677045">
        <w:rPr>
          <w:rFonts w:ascii="Palatino Linotype" w:hAnsi="Palatino Linotype"/>
          <w:noProof/>
        </w:rPr>
        <w:t xml:space="preserve"> jobs in </w:t>
      </w:r>
      <w:r w:rsidRPr="00677045">
        <w:rPr>
          <w:rFonts w:ascii="Palatino Linotype" w:hAnsi="Palatino Linotype"/>
          <w:noProof/>
        </w:rPr>
        <w:lastRenderedPageBreak/>
        <w:t xml:space="preserve">2022. </w:t>
      </w:r>
      <w:r w:rsidR="00C4420F">
        <w:rPr>
          <w:rFonts w:ascii="Palatino Linotype" w:hAnsi="Palatino Linotype"/>
          <w:noProof/>
        </w:rPr>
        <w:t xml:space="preserve">On average, </w:t>
      </w:r>
      <w:r w:rsidR="00AF38EC">
        <w:rPr>
          <w:rFonts w:ascii="Palatino Linotype" w:hAnsi="Palatino Linotype"/>
          <w:noProof/>
        </w:rPr>
        <w:t>Virginia</w:t>
      </w:r>
      <w:r w:rsidR="00063782">
        <w:rPr>
          <w:rFonts w:ascii="Palatino Linotype" w:hAnsi="Palatino Linotype"/>
          <w:noProof/>
        </w:rPr>
        <w:t xml:space="preserve"> </w:t>
      </w:r>
      <w:r w:rsidR="00C4420F">
        <w:rPr>
          <w:rFonts w:ascii="Palatino Linotype" w:hAnsi="Palatino Linotype"/>
          <w:noProof/>
        </w:rPr>
        <w:t>households would incur a cost of $5</w:t>
      </w:r>
      <w:r w:rsidR="001D68E2">
        <w:rPr>
          <w:rFonts w:ascii="Palatino Linotype" w:hAnsi="Palatino Linotype"/>
          <w:noProof/>
        </w:rPr>
        <w:t>40</w:t>
      </w:r>
      <w:r w:rsidR="00C4420F">
        <w:rPr>
          <w:rFonts w:ascii="Palatino Linotype" w:hAnsi="Palatino Linotype"/>
          <w:noProof/>
        </w:rPr>
        <w:t xml:space="preserve">. </w:t>
      </w:r>
      <w:r w:rsidRPr="00677045">
        <w:rPr>
          <w:rFonts w:ascii="Palatino Linotype" w:hAnsi="Palatino Linotype"/>
          <w:noProof/>
        </w:rPr>
        <w:t>The net cost of the emissions cap</w:t>
      </w:r>
      <w:r w:rsidR="006535D6" w:rsidRPr="00677045">
        <w:rPr>
          <w:rFonts w:ascii="Palatino Linotype" w:hAnsi="Palatino Linotype"/>
          <w:noProof/>
        </w:rPr>
        <w:t xml:space="preserve"> </w:t>
      </w:r>
      <w:r w:rsidRPr="00677045">
        <w:rPr>
          <w:rFonts w:ascii="Palatino Linotype" w:hAnsi="Palatino Linotype"/>
          <w:noProof/>
        </w:rPr>
        <w:t>would be $</w:t>
      </w:r>
      <w:r w:rsidR="00B77504">
        <w:rPr>
          <w:rFonts w:ascii="Palatino Linotype" w:hAnsi="Palatino Linotype"/>
          <w:noProof/>
        </w:rPr>
        <w:t>7</w:t>
      </w:r>
      <w:r w:rsidR="001D68E2">
        <w:rPr>
          <w:rFonts w:ascii="Palatino Linotype" w:hAnsi="Palatino Linotype"/>
          <w:noProof/>
        </w:rPr>
        <w:t>67</w:t>
      </w:r>
      <w:r w:rsidRPr="00677045">
        <w:rPr>
          <w:rFonts w:ascii="Palatino Linotype" w:hAnsi="Palatino Linotype"/>
          <w:noProof/>
        </w:rPr>
        <w:t xml:space="preserve"> million. </w:t>
      </w:r>
      <w:r w:rsidR="00C4420F">
        <w:rPr>
          <w:rFonts w:ascii="Palatino Linotype" w:hAnsi="Palatino Linotype"/>
          <w:noProof/>
        </w:rPr>
        <w:t>T</w:t>
      </w:r>
      <w:r w:rsidR="006251D1" w:rsidRPr="00677045">
        <w:rPr>
          <w:rFonts w:ascii="Palatino Linotype" w:hAnsi="Palatino Linotype"/>
          <w:noProof/>
        </w:rPr>
        <w:t>he adverse economic effects of the</w:t>
      </w:r>
      <w:r w:rsidR="00F329EC">
        <w:rPr>
          <w:rFonts w:ascii="Palatino Linotype" w:hAnsi="Palatino Linotype"/>
          <w:noProof/>
        </w:rPr>
        <w:t xml:space="preserve"> </w:t>
      </w:r>
      <w:r w:rsidR="006251D1" w:rsidRPr="00677045">
        <w:rPr>
          <w:rFonts w:ascii="Palatino Linotype" w:hAnsi="Palatino Linotype"/>
          <w:noProof/>
        </w:rPr>
        <w:t xml:space="preserve">emissions cap would reduce </w:t>
      </w:r>
      <w:r w:rsidR="004702F8">
        <w:rPr>
          <w:rFonts w:ascii="Palatino Linotype" w:hAnsi="Palatino Linotype"/>
          <w:noProof/>
        </w:rPr>
        <w:t>state</w:t>
      </w:r>
      <w:r w:rsidR="006251D1" w:rsidRPr="00677045">
        <w:rPr>
          <w:rFonts w:ascii="Palatino Linotype" w:hAnsi="Palatino Linotype"/>
          <w:noProof/>
        </w:rPr>
        <w:t xml:space="preserve"> tax revenues</w:t>
      </w:r>
      <w:r w:rsidR="009F3913">
        <w:rPr>
          <w:rFonts w:ascii="Palatino Linotype" w:hAnsi="Palatino Linotype"/>
          <w:noProof/>
        </w:rPr>
        <w:t xml:space="preserve"> by $35 million.  </w:t>
      </w:r>
    </w:p>
    <w:p w14:paraId="23166885" w14:textId="31F11CED" w:rsidR="00404797" w:rsidRPr="00A422C0" w:rsidRDefault="00677045" w:rsidP="00DD3C45">
      <w:pPr>
        <w:pStyle w:val="Caption"/>
        <w:jc w:val="center"/>
        <w:rPr>
          <w:rFonts w:ascii="Palatino Linotype" w:hAnsi="Palatino Linotype"/>
          <w:color w:val="000000" w:themeColor="text1"/>
          <w:sz w:val="24"/>
          <w:szCs w:val="24"/>
        </w:rPr>
      </w:pPr>
      <w:r>
        <w:rPr>
          <w:rFonts w:ascii="Palatino Linotype" w:hAnsi="Palatino Linotype"/>
          <w:noProof/>
        </w:rPr>
        <w:tab/>
      </w:r>
      <w:bookmarkStart w:id="18" w:name="_Toc32576788"/>
      <w:bookmarkStart w:id="19" w:name="_Toc55394595"/>
      <w:r w:rsidR="00404797" w:rsidRPr="00DD3C45">
        <w:rPr>
          <w:rFonts w:ascii="Palatino Linotype" w:hAnsi="Palatino Linotype"/>
          <w:sz w:val="24"/>
          <w:szCs w:val="24"/>
        </w:rPr>
        <w:t>Table 5:  The Costs and Benefits of a 22</w:t>
      </w:r>
      <w:r w:rsidR="00F646ED" w:rsidRPr="00DD3C45">
        <w:rPr>
          <w:rFonts w:ascii="Palatino Linotype" w:hAnsi="Palatino Linotype"/>
          <w:sz w:val="24"/>
          <w:szCs w:val="24"/>
        </w:rPr>
        <w:t>.5</w:t>
      </w:r>
      <w:r w:rsidR="00404797" w:rsidRPr="00DD3C45">
        <w:rPr>
          <w:rFonts w:ascii="Palatino Linotype" w:hAnsi="Palatino Linotype"/>
          <w:sz w:val="24"/>
          <w:szCs w:val="24"/>
        </w:rPr>
        <w:t>% Emissions Cap on Virginia</w:t>
      </w:r>
      <w:bookmarkEnd w:id="18"/>
      <w:bookmarkEnd w:id="19"/>
    </w:p>
    <w:tbl>
      <w:tblPr>
        <w:tblW w:w="9595" w:type="dxa"/>
        <w:tblLook w:val="04A0" w:firstRow="1" w:lastRow="0" w:firstColumn="1" w:lastColumn="0" w:noHBand="0" w:noVBand="1"/>
      </w:tblPr>
      <w:tblGrid>
        <w:gridCol w:w="4911"/>
        <w:gridCol w:w="924"/>
        <w:gridCol w:w="985"/>
        <w:gridCol w:w="925"/>
        <w:gridCol w:w="925"/>
        <w:gridCol w:w="925"/>
      </w:tblGrid>
      <w:tr w:rsidR="00404797" w:rsidRPr="00A422C0" w14:paraId="4171FD9E" w14:textId="77777777" w:rsidTr="00353A4C">
        <w:trPr>
          <w:trHeight w:val="264"/>
        </w:trPr>
        <w:tc>
          <w:tcPr>
            <w:tcW w:w="4911" w:type="dxa"/>
            <w:tcBorders>
              <w:top w:val="single" w:sz="4" w:space="0" w:color="auto"/>
              <w:left w:val="nil"/>
              <w:bottom w:val="single" w:sz="4" w:space="0" w:color="auto"/>
              <w:right w:val="nil"/>
            </w:tcBorders>
            <w:shd w:val="clear" w:color="auto" w:fill="auto"/>
            <w:noWrap/>
            <w:vAlign w:val="bottom"/>
            <w:hideMark/>
          </w:tcPr>
          <w:p w14:paraId="2DB48644" w14:textId="77777777" w:rsidR="00404797" w:rsidRPr="00A422C0" w:rsidRDefault="00404797" w:rsidP="00353A4C">
            <w:pPr>
              <w:rPr>
                <w:rFonts w:ascii="Palatino Linotype" w:hAnsi="Palatino Linotype"/>
                <w:color w:val="000000" w:themeColor="text1"/>
                <w:sz w:val="22"/>
                <w:szCs w:val="22"/>
              </w:rPr>
            </w:pPr>
            <w:r w:rsidRPr="00A422C0">
              <w:rPr>
                <w:rFonts w:ascii="Palatino Linotype" w:hAnsi="Palatino Linotype"/>
                <w:color w:val="000000" w:themeColor="text1"/>
                <w:sz w:val="22"/>
                <w:szCs w:val="22"/>
              </w:rPr>
              <w:t>Variable</w:t>
            </w:r>
          </w:p>
        </w:tc>
        <w:tc>
          <w:tcPr>
            <w:tcW w:w="924" w:type="dxa"/>
            <w:tcBorders>
              <w:top w:val="single" w:sz="4" w:space="0" w:color="auto"/>
              <w:left w:val="nil"/>
              <w:bottom w:val="single" w:sz="4" w:space="0" w:color="auto"/>
              <w:right w:val="nil"/>
            </w:tcBorders>
            <w:shd w:val="clear" w:color="auto" w:fill="auto"/>
            <w:noWrap/>
            <w:vAlign w:val="bottom"/>
            <w:hideMark/>
          </w:tcPr>
          <w:p w14:paraId="018FB147" w14:textId="77777777" w:rsidR="00404797" w:rsidRPr="00A422C0" w:rsidRDefault="00404797" w:rsidP="00353A4C">
            <w:pPr>
              <w:jc w:val="right"/>
              <w:rPr>
                <w:rFonts w:ascii="Palatino Linotype" w:hAnsi="Palatino Linotype" w:cs="Arial"/>
                <w:color w:val="000000" w:themeColor="text1"/>
                <w:sz w:val="22"/>
                <w:szCs w:val="22"/>
              </w:rPr>
            </w:pPr>
            <w:r w:rsidRPr="00A422C0">
              <w:rPr>
                <w:rFonts w:ascii="Palatino Linotype" w:hAnsi="Palatino Linotype" w:cs="Arial"/>
                <w:color w:val="000000" w:themeColor="text1"/>
                <w:sz w:val="22"/>
                <w:szCs w:val="22"/>
              </w:rPr>
              <w:t>2022</w:t>
            </w:r>
          </w:p>
        </w:tc>
        <w:tc>
          <w:tcPr>
            <w:tcW w:w="985" w:type="dxa"/>
            <w:tcBorders>
              <w:top w:val="single" w:sz="4" w:space="0" w:color="auto"/>
              <w:left w:val="nil"/>
              <w:bottom w:val="single" w:sz="4" w:space="0" w:color="auto"/>
              <w:right w:val="nil"/>
            </w:tcBorders>
          </w:tcPr>
          <w:p w14:paraId="0090AAB7" w14:textId="77777777" w:rsidR="00404797" w:rsidRPr="00A422C0" w:rsidRDefault="00404797" w:rsidP="00353A4C">
            <w:pPr>
              <w:ind w:left="-120"/>
              <w:jc w:val="right"/>
              <w:rPr>
                <w:rFonts w:ascii="Palatino Linotype" w:hAnsi="Palatino Linotype" w:cs="Arial"/>
                <w:color w:val="000000" w:themeColor="text1"/>
                <w:sz w:val="22"/>
                <w:szCs w:val="22"/>
              </w:rPr>
            </w:pPr>
            <w:r w:rsidRPr="00A422C0">
              <w:rPr>
                <w:rFonts w:ascii="Palatino Linotype" w:hAnsi="Palatino Linotype" w:cs="Arial"/>
                <w:color w:val="000000" w:themeColor="text1"/>
                <w:sz w:val="22"/>
                <w:szCs w:val="22"/>
              </w:rPr>
              <w:t>2023</w:t>
            </w:r>
          </w:p>
        </w:tc>
        <w:tc>
          <w:tcPr>
            <w:tcW w:w="925" w:type="dxa"/>
            <w:tcBorders>
              <w:top w:val="single" w:sz="4" w:space="0" w:color="auto"/>
              <w:left w:val="nil"/>
              <w:bottom w:val="single" w:sz="4" w:space="0" w:color="auto"/>
              <w:right w:val="nil"/>
            </w:tcBorders>
            <w:shd w:val="clear" w:color="auto" w:fill="auto"/>
            <w:noWrap/>
            <w:vAlign w:val="bottom"/>
            <w:hideMark/>
          </w:tcPr>
          <w:p w14:paraId="48F1F19E" w14:textId="77777777" w:rsidR="00404797" w:rsidRPr="00A422C0" w:rsidRDefault="00404797" w:rsidP="00353A4C">
            <w:pPr>
              <w:jc w:val="right"/>
              <w:rPr>
                <w:rFonts w:ascii="Palatino Linotype" w:hAnsi="Palatino Linotype" w:cs="Arial"/>
                <w:color w:val="000000" w:themeColor="text1"/>
                <w:sz w:val="22"/>
                <w:szCs w:val="22"/>
              </w:rPr>
            </w:pPr>
            <w:r w:rsidRPr="00A422C0">
              <w:rPr>
                <w:rFonts w:ascii="Palatino Linotype" w:hAnsi="Palatino Linotype" w:cs="Arial"/>
                <w:color w:val="000000" w:themeColor="text1"/>
                <w:sz w:val="22"/>
                <w:szCs w:val="22"/>
              </w:rPr>
              <w:t>2024</w:t>
            </w:r>
          </w:p>
        </w:tc>
        <w:tc>
          <w:tcPr>
            <w:tcW w:w="925" w:type="dxa"/>
            <w:tcBorders>
              <w:top w:val="single" w:sz="4" w:space="0" w:color="auto"/>
              <w:left w:val="nil"/>
              <w:bottom w:val="single" w:sz="4" w:space="0" w:color="auto"/>
              <w:right w:val="nil"/>
            </w:tcBorders>
            <w:shd w:val="clear" w:color="auto" w:fill="auto"/>
            <w:noWrap/>
            <w:vAlign w:val="bottom"/>
            <w:hideMark/>
          </w:tcPr>
          <w:p w14:paraId="04CF1626" w14:textId="77777777" w:rsidR="00404797" w:rsidRPr="00A422C0" w:rsidRDefault="00404797" w:rsidP="00353A4C">
            <w:pPr>
              <w:jc w:val="right"/>
              <w:rPr>
                <w:rFonts w:ascii="Palatino Linotype" w:hAnsi="Palatino Linotype" w:cs="Arial"/>
                <w:color w:val="000000" w:themeColor="text1"/>
                <w:sz w:val="22"/>
                <w:szCs w:val="22"/>
              </w:rPr>
            </w:pPr>
            <w:r w:rsidRPr="00A422C0">
              <w:rPr>
                <w:rFonts w:ascii="Palatino Linotype" w:hAnsi="Palatino Linotype" w:cs="Arial"/>
                <w:color w:val="000000" w:themeColor="text1"/>
                <w:sz w:val="22"/>
                <w:szCs w:val="22"/>
              </w:rPr>
              <w:t>2025</w:t>
            </w:r>
          </w:p>
        </w:tc>
        <w:tc>
          <w:tcPr>
            <w:tcW w:w="925" w:type="dxa"/>
            <w:tcBorders>
              <w:top w:val="single" w:sz="4" w:space="0" w:color="auto"/>
              <w:left w:val="nil"/>
              <w:bottom w:val="single" w:sz="4" w:space="0" w:color="auto"/>
              <w:right w:val="nil"/>
            </w:tcBorders>
            <w:shd w:val="clear" w:color="auto" w:fill="auto"/>
            <w:noWrap/>
            <w:vAlign w:val="bottom"/>
            <w:hideMark/>
          </w:tcPr>
          <w:p w14:paraId="17916F92" w14:textId="77777777" w:rsidR="00404797" w:rsidRPr="00A422C0" w:rsidRDefault="00404797" w:rsidP="00353A4C">
            <w:pPr>
              <w:jc w:val="right"/>
              <w:rPr>
                <w:rFonts w:ascii="Palatino Linotype" w:hAnsi="Palatino Linotype" w:cs="Arial"/>
                <w:color w:val="000000" w:themeColor="text1"/>
                <w:sz w:val="22"/>
                <w:szCs w:val="22"/>
              </w:rPr>
            </w:pPr>
            <w:r w:rsidRPr="00A422C0">
              <w:rPr>
                <w:rFonts w:ascii="Palatino Linotype" w:hAnsi="Palatino Linotype" w:cs="Arial"/>
                <w:color w:val="000000" w:themeColor="text1"/>
                <w:sz w:val="22"/>
                <w:szCs w:val="22"/>
              </w:rPr>
              <w:t>2026</w:t>
            </w:r>
          </w:p>
        </w:tc>
      </w:tr>
      <w:tr w:rsidR="00B360C0" w:rsidRPr="00A422C0" w14:paraId="43CA2B8D" w14:textId="77777777" w:rsidTr="00D520F1">
        <w:trPr>
          <w:trHeight w:val="264"/>
        </w:trPr>
        <w:tc>
          <w:tcPr>
            <w:tcW w:w="4911" w:type="dxa"/>
            <w:tcBorders>
              <w:top w:val="nil"/>
              <w:left w:val="nil"/>
              <w:right w:val="nil"/>
            </w:tcBorders>
            <w:shd w:val="clear" w:color="auto" w:fill="auto"/>
            <w:noWrap/>
            <w:vAlign w:val="bottom"/>
          </w:tcPr>
          <w:p w14:paraId="4D1B7E79" w14:textId="77777777" w:rsidR="00B360C0" w:rsidRPr="00A422C0" w:rsidRDefault="00B360C0" w:rsidP="00B360C0">
            <w:pPr>
              <w:rPr>
                <w:rFonts w:ascii="Palatino Linotype" w:hAnsi="Palatino Linotype" w:cs="Arial"/>
                <w:color w:val="000000" w:themeColor="text1"/>
                <w:sz w:val="22"/>
                <w:szCs w:val="22"/>
                <w:highlight w:val="yellow"/>
              </w:rPr>
            </w:pPr>
            <w:r w:rsidRPr="00A422C0">
              <w:rPr>
                <w:rFonts w:ascii="Palatino Linotype" w:hAnsi="Palatino Linotype" w:cs="Arial"/>
                <w:color w:val="000000" w:themeColor="text1"/>
                <w:sz w:val="22"/>
                <w:szCs w:val="22"/>
              </w:rPr>
              <w:t>Revenue changes other state taxes ($, mil.)</w:t>
            </w:r>
          </w:p>
        </w:tc>
        <w:tc>
          <w:tcPr>
            <w:tcW w:w="924" w:type="dxa"/>
            <w:tcBorders>
              <w:top w:val="nil"/>
              <w:left w:val="nil"/>
              <w:right w:val="nil"/>
            </w:tcBorders>
            <w:shd w:val="clear" w:color="auto" w:fill="auto"/>
            <w:noWrap/>
            <w:vAlign w:val="bottom"/>
          </w:tcPr>
          <w:p w14:paraId="32CFCD43" w14:textId="3C62175F" w:rsidR="00B360C0" w:rsidRPr="00B360C0" w:rsidRDefault="00B360C0" w:rsidP="00B360C0">
            <w:pPr>
              <w:jc w:val="right"/>
              <w:rPr>
                <w:rFonts w:ascii="Palatino Linotype" w:hAnsi="Palatino Linotype" w:cs="Arial"/>
                <w:color w:val="000000" w:themeColor="text1"/>
                <w:sz w:val="22"/>
                <w:szCs w:val="22"/>
              </w:rPr>
            </w:pPr>
            <w:r w:rsidRPr="00B360C0">
              <w:rPr>
                <w:rFonts w:ascii="Palatino Linotype" w:hAnsi="Palatino Linotype" w:cs="Calibri"/>
                <w:color w:val="000000"/>
                <w:sz w:val="22"/>
                <w:szCs w:val="22"/>
              </w:rPr>
              <w:t>-35</w:t>
            </w:r>
          </w:p>
        </w:tc>
        <w:tc>
          <w:tcPr>
            <w:tcW w:w="985" w:type="dxa"/>
            <w:tcBorders>
              <w:top w:val="nil"/>
              <w:left w:val="nil"/>
              <w:right w:val="nil"/>
            </w:tcBorders>
            <w:vAlign w:val="bottom"/>
          </w:tcPr>
          <w:p w14:paraId="69024CFE" w14:textId="75F51E36" w:rsidR="00B360C0" w:rsidRPr="00B360C0" w:rsidRDefault="00B360C0" w:rsidP="00B360C0">
            <w:pPr>
              <w:jc w:val="right"/>
              <w:rPr>
                <w:rFonts w:ascii="Palatino Linotype" w:hAnsi="Palatino Linotype" w:cs="Arial"/>
                <w:color w:val="000000" w:themeColor="text1"/>
                <w:sz w:val="22"/>
                <w:szCs w:val="22"/>
              </w:rPr>
            </w:pPr>
            <w:r w:rsidRPr="00B360C0">
              <w:rPr>
                <w:rFonts w:ascii="Palatino Linotype" w:hAnsi="Palatino Linotype" w:cs="Calibri"/>
                <w:color w:val="000000"/>
                <w:sz w:val="22"/>
                <w:szCs w:val="22"/>
              </w:rPr>
              <w:t>-34</w:t>
            </w:r>
          </w:p>
        </w:tc>
        <w:tc>
          <w:tcPr>
            <w:tcW w:w="925" w:type="dxa"/>
            <w:tcBorders>
              <w:top w:val="nil"/>
              <w:left w:val="nil"/>
              <w:right w:val="nil"/>
            </w:tcBorders>
            <w:shd w:val="clear" w:color="auto" w:fill="auto"/>
            <w:noWrap/>
            <w:vAlign w:val="bottom"/>
          </w:tcPr>
          <w:p w14:paraId="18509B52" w14:textId="061FDDFA" w:rsidR="00B360C0" w:rsidRPr="00B360C0" w:rsidRDefault="00B360C0" w:rsidP="00B360C0">
            <w:pPr>
              <w:jc w:val="right"/>
              <w:rPr>
                <w:rFonts w:ascii="Palatino Linotype" w:hAnsi="Palatino Linotype" w:cs="Arial"/>
                <w:color w:val="000000" w:themeColor="text1"/>
                <w:sz w:val="22"/>
                <w:szCs w:val="22"/>
              </w:rPr>
            </w:pPr>
            <w:r w:rsidRPr="00B360C0">
              <w:rPr>
                <w:rFonts w:ascii="Palatino Linotype" w:hAnsi="Palatino Linotype" w:cs="Calibri"/>
                <w:color w:val="000000"/>
                <w:sz w:val="22"/>
                <w:szCs w:val="22"/>
              </w:rPr>
              <w:t>-32</w:t>
            </w:r>
          </w:p>
        </w:tc>
        <w:tc>
          <w:tcPr>
            <w:tcW w:w="925" w:type="dxa"/>
            <w:tcBorders>
              <w:top w:val="nil"/>
              <w:left w:val="nil"/>
              <w:right w:val="nil"/>
            </w:tcBorders>
            <w:shd w:val="clear" w:color="auto" w:fill="auto"/>
            <w:noWrap/>
            <w:vAlign w:val="bottom"/>
          </w:tcPr>
          <w:p w14:paraId="6763539B" w14:textId="25C6A747" w:rsidR="00B360C0" w:rsidRPr="00B360C0" w:rsidRDefault="00B360C0" w:rsidP="00B360C0">
            <w:pPr>
              <w:jc w:val="right"/>
              <w:rPr>
                <w:rFonts w:ascii="Palatino Linotype" w:hAnsi="Palatino Linotype" w:cs="Arial"/>
                <w:color w:val="000000" w:themeColor="text1"/>
                <w:sz w:val="22"/>
                <w:szCs w:val="22"/>
              </w:rPr>
            </w:pPr>
            <w:r w:rsidRPr="00B360C0">
              <w:rPr>
                <w:rFonts w:ascii="Palatino Linotype" w:hAnsi="Palatino Linotype" w:cs="Calibri"/>
                <w:color w:val="000000"/>
                <w:sz w:val="22"/>
                <w:szCs w:val="22"/>
              </w:rPr>
              <w:t>-30</w:t>
            </w:r>
          </w:p>
        </w:tc>
        <w:tc>
          <w:tcPr>
            <w:tcW w:w="925" w:type="dxa"/>
            <w:tcBorders>
              <w:top w:val="nil"/>
              <w:left w:val="nil"/>
              <w:right w:val="nil"/>
            </w:tcBorders>
            <w:shd w:val="clear" w:color="auto" w:fill="auto"/>
            <w:noWrap/>
            <w:vAlign w:val="bottom"/>
          </w:tcPr>
          <w:p w14:paraId="688B51B3" w14:textId="556F3AD9" w:rsidR="00B360C0" w:rsidRPr="00B360C0" w:rsidRDefault="00B360C0" w:rsidP="00B360C0">
            <w:pPr>
              <w:jc w:val="right"/>
              <w:rPr>
                <w:rFonts w:ascii="Palatino Linotype" w:hAnsi="Palatino Linotype" w:cs="Arial"/>
                <w:color w:val="000000" w:themeColor="text1"/>
                <w:sz w:val="22"/>
                <w:szCs w:val="22"/>
              </w:rPr>
            </w:pPr>
            <w:r w:rsidRPr="00B360C0">
              <w:rPr>
                <w:rFonts w:ascii="Palatino Linotype" w:hAnsi="Palatino Linotype" w:cs="Calibri"/>
                <w:color w:val="000000"/>
                <w:sz w:val="22"/>
                <w:szCs w:val="22"/>
              </w:rPr>
              <w:t>-31</w:t>
            </w:r>
          </w:p>
        </w:tc>
      </w:tr>
      <w:tr w:rsidR="00B360C0" w:rsidRPr="00A422C0" w14:paraId="76F33877" w14:textId="77777777" w:rsidTr="00353A4C">
        <w:trPr>
          <w:trHeight w:val="264"/>
        </w:trPr>
        <w:tc>
          <w:tcPr>
            <w:tcW w:w="4911" w:type="dxa"/>
            <w:tcBorders>
              <w:top w:val="nil"/>
              <w:left w:val="nil"/>
              <w:right w:val="nil"/>
            </w:tcBorders>
            <w:shd w:val="clear" w:color="auto" w:fill="auto"/>
            <w:noWrap/>
            <w:vAlign w:val="bottom"/>
          </w:tcPr>
          <w:p w14:paraId="3DF58CCD" w14:textId="77777777" w:rsidR="00B360C0" w:rsidRPr="00A422C0" w:rsidRDefault="00B360C0" w:rsidP="00B360C0">
            <w:pPr>
              <w:rPr>
                <w:rFonts w:ascii="Palatino Linotype" w:hAnsi="Palatino Linotype" w:cs="Arial"/>
                <w:color w:val="000000" w:themeColor="text1"/>
                <w:sz w:val="22"/>
                <w:szCs w:val="22"/>
                <w:highlight w:val="yellow"/>
              </w:rPr>
            </w:pPr>
            <w:r w:rsidRPr="00A422C0">
              <w:rPr>
                <w:rFonts w:ascii="Palatino Linotype" w:hAnsi="Palatino Linotype" w:cs="Arial"/>
                <w:color w:val="000000" w:themeColor="text1"/>
                <w:sz w:val="22"/>
                <w:szCs w:val="22"/>
              </w:rPr>
              <w:t>Private employment (jobs)</w:t>
            </w:r>
          </w:p>
        </w:tc>
        <w:tc>
          <w:tcPr>
            <w:tcW w:w="924" w:type="dxa"/>
            <w:tcBorders>
              <w:top w:val="nil"/>
              <w:left w:val="nil"/>
              <w:right w:val="nil"/>
            </w:tcBorders>
            <w:shd w:val="clear" w:color="auto" w:fill="auto"/>
            <w:noWrap/>
            <w:vAlign w:val="bottom"/>
          </w:tcPr>
          <w:p w14:paraId="10276061" w14:textId="4C7281FE" w:rsidR="00B360C0" w:rsidRPr="00B360C0" w:rsidRDefault="00B360C0" w:rsidP="00B360C0">
            <w:pPr>
              <w:jc w:val="right"/>
              <w:rPr>
                <w:rFonts w:ascii="Palatino Linotype" w:hAnsi="Palatino Linotype" w:cs="Arial"/>
                <w:color w:val="000000" w:themeColor="text1"/>
                <w:sz w:val="22"/>
                <w:szCs w:val="22"/>
              </w:rPr>
            </w:pPr>
            <w:r w:rsidRPr="00B360C0">
              <w:rPr>
                <w:rFonts w:ascii="Palatino Linotype" w:hAnsi="Palatino Linotype" w:cs="Calibri"/>
                <w:color w:val="000000"/>
                <w:sz w:val="22"/>
                <w:szCs w:val="22"/>
              </w:rPr>
              <w:t>-9</w:t>
            </w:r>
            <w:r>
              <w:rPr>
                <w:rFonts w:ascii="Palatino Linotype" w:hAnsi="Palatino Linotype" w:cs="Calibri"/>
                <w:color w:val="000000"/>
                <w:sz w:val="22"/>
                <w:szCs w:val="22"/>
              </w:rPr>
              <w:t>,</w:t>
            </w:r>
            <w:r w:rsidRPr="00B360C0">
              <w:rPr>
                <w:rFonts w:ascii="Palatino Linotype" w:hAnsi="Palatino Linotype" w:cs="Calibri"/>
                <w:color w:val="000000"/>
                <w:sz w:val="22"/>
                <w:szCs w:val="22"/>
              </w:rPr>
              <w:t>444</w:t>
            </w:r>
          </w:p>
        </w:tc>
        <w:tc>
          <w:tcPr>
            <w:tcW w:w="985" w:type="dxa"/>
            <w:tcBorders>
              <w:top w:val="nil"/>
              <w:left w:val="nil"/>
              <w:right w:val="nil"/>
            </w:tcBorders>
            <w:vAlign w:val="bottom"/>
          </w:tcPr>
          <w:p w14:paraId="51A91CCA" w14:textId="22CA87E2" w:rsidR="00B360C0" w:rsidRPr="00B360C0" w:rsidRDefault="00B360C0" w:rsidP="00B360C0">
            <w:pPr>
              <w:jc w:val="right"/>
              <w:rPr>
                <w:rFonts w:ascii="Palatino Linotype" w:hAnsi="Palatino Linotype" w:cs="Arial"/>
                <w:color w:val="000000" w:themeColor="text1"/>
                <w:sz w:val="22"/>
                <w:szCs w:val="22"/>
              </w:rPr>
            </w:pPr>
            <w:r w:rsidRPr="00B360C0">
              <w:rPr>
                <w:rFonts w:ascii="Palatino Linotype" w:hAnsi="Palatino Linotype" w:cs="Calibri"/>
                <w:color w:val="000000"/>
                <w:sz w:val="22"/>
                <w:szCs w:val="22"/>
              </w:rPr>
              <w:t>-9</w:t>
            </w:r>
            <w:r>
              <w:rPr>
                <w:rFonts w:ascii="Palatino Linotype" w:hAnsi="Palatino Linotype" w:cs="Calibri"/>
                <w:color w:val="000000"/>
                <w:sz w:val="22"/>
                <w:szCs w:val="22"/>
              </w:rPr>
              <w:t>,</w:t>
            </w:r>
            <w:r w:rsidRPr="00B360C0">
              <w:rPr>
                <w:rFonts w:ascii="Palatino Linotype" w:hAnsi="Palatino Linotype" w:cs="Calibri"/>
                <w:color w:val="000000"/>
                <w:sz w:val="22"/>
                <w:szCs w:val="22"/>
              </w:rPr>
              <w:t>211</w:t>
            </w:r>
          </w:p>
        </w:tc>
        <w:tc>
          <w:tcPr>
            <w:tcW w:w="925" w:type="dxa"/>
            <w:tcBorders>
              <w:top w:val="nil"/>
              <w:left w:val="nil"/>
              <w:right w:val="nil"/>
            </w:tcBorders>
            <w:shd w:val="clear" w:color="auto" w:fill="auto"/>
            <w:noWrap/>
            <w:vAlign w:val="bottom"/>
          </w:tcPr>
          <w:p w14:paraId="5FC24A05" w14:textId="4ED9D92C" w:rsidR="00B360C0" w:rsidRPr="00B360C0" w:rsidRDefault="00B360C0" w:rsidP="00B360C0">
            <w:pPr>
              <w:jc w:val="right"/>
              <w:rPr>
                <w:rFonts w:ascii="Palatino Linotype" w:hAnsi="Palatino Linotype" w:cs="Arial"/>
                <w:color w:val="000000" w:themeColor="text1"/>
                <w:sz w:val="22"/>
                <w:szCs w:val="22"/>
              </w:rPr>
            </w:pPr>
            <w:r w:rsidRPr="00B360C0">
              <w:rPr>
                <w:rFonts w:ascii="Palatino Linotype" w:hAnsi="Palatino Linotype" w:cs="Calibri"/>
                <w:color w:val="000000"/>
                <w:sz w:val="22"/>
                <w:szCs w:val="22"/>
              </w:rPr>
              <w:t>-8</w:t>
            </w:r>
            <w:r>
              <w:rPr>
                <w:rFonts w:ascii="Palatino Linotype" w:hAnsi="Palatino Linotype" w:cs="Calibri"/>
                <w:color w:val="000000"/>
                <w:sz w:val="22"/>
                <w:szCs w:val="22"/>
              </w:rPr>
              <w:t>,</w:t>
            </w:r>
            <w:r w:rsidRPr="00B360C0">
              <w:rPr>
                <w:rFonts w:ascii="Palatino Linotype" w:hAnsi="Palatino Linotype" w:cs="Calibri"/>
                <w:color w:val="000000"/>
                <w:sz w:val="22"/>
                <w:szCs w:val="22"/>
              </w:rPr>
              <w:t>966</w:t>
            </w:r>
          </w:p>
        </w:tc>
        <w:tc>
          <w:tcPr>
            <w:tcW w:w="925" w:type="dxa"/>
            <w:tcBorders>
              <w:top w:val="nil"/>
              <w:left w:val="nil"/>
              <w:right w:val="nil"/>
            </w:tcBorders>
            <w:shd w:val="clear" w:color="auto" w:fill="auto"/>
            <w:noWrap/>
            <w:vAlign w:val="bottom"/>
          </w:tcPr>
          <w:p w14:paraId="3B9E9D73" w14:textId="560CADFB" w:rsidR="00B360C0" w:rsidRPr="00B360C0" w:rsidRDefault="00B360C0" w:rsidP="00B360C0">
            <w:pPr>
              <w:jc w:val="right"/>
              <w:rPr>
                <w:rFonts w:ascii="Palatino Linotype" w:hAnsi="Palatino Linotype" w:cs="Arial"/>
                <w:color w:val="000000" w:themeColor="text1"/>
                <w:sz w:val="22"/>
                <w:szCs w:val="22"/>
              </w:rPr>
            </w:pPr>
            <w:r w:rsidRPr="00B360C0">
              <w:rPr>
                <w:rFonts w:ascii="Palatino Linotype" w:hAnsi="Palatino Linotype" w:cs="Calibri"/>
                <w:color w:val="000000"/>
                <w:sz w:val="22"/>
                <w:szCs w:val="22"/>
              </w:rPr>
              <w:t>-8</w:t>
            </w:r>
            <w:r>
              <w:rPr>
                <w:rFonts w:ascii="Palatino Linotype" w:hAnsi="Palatino Linotype" w:cs="Calibri"/>
                <w:color w:val="000000"/>
                <w:sz w:val="22"/>
                <w:szCs w:val="22"/>
              </w:rPr>
              <w:t>,</w:t>
            </w:r>
            <w:r w:rsidRPr="00B360C0">
              <w:rPr>
                <w:rFonts w:ascii="Palatino Linotype" w:hAnsi="Palatino Linotype" w:cs="Calibri"/>
                <w:color w:val="000000"/>
                <w:sz w:val="22"/>
                <w:szCs w:val="22"/>
              </w:rPr>
              <w:t>691</w:t>
            </w:r>
          </w:p>
        </w:tc>
        <w:tc>
          <w:tcPr>
            <w:tcW w:w="925" w:type="dxa"/>
            <w:tcBorders>
              <w:top w:val="nil"/>
              <w:left w:val="nil"/>
              <w:right w:val="nil"/>
            </w:tcBorders>
            <w:shd w:val="clear" w:color="auto" w:fill="auto"/>
            <w:noWrap/>
            <w:vAlign w:val="bottom"/>
          </w:tcPr>
          <w:p w14:paraId="4F0B1360" w14:textId="6552482F" w:rsidR="00B360C0" w:rsidRPr="00B360C0" w:rsidRDefault="00B360C0" w:rsidP="00B360C0">
            <w:pPr>
              <w:jc w:val="right"/>
              <w:rPr>
                <w:rFonts w:ascii="Palatino Linotype" w:hAnsi="Palatino Linotype" w:cs="Arial"/>
                <w:color w:val="000000" w:themeColor="text1"/>
                <w:sz w:val="22"/>
                <w:szCs w:val="22"/>
              </w:rPr>
            </w:pPr>
            <w:r w:rsidRPr="00B360C0">
              <w:rPr>
                <w:rFonts w:ascii="Palatino Linotype" w:hAnsi="Palatino Linotype" w:cs="Calibri"/>
                <w:color w:val="000000"/>
                <w:sz w:val="22"/>
                <w:szCs w:val="22"/>
              </w:rPr>
              <w:t>-8</w:t>
            </w:r>
            <w:r>
              <w:rPr>
                <w:rFonts w:ascii="Palatino Linotype" w:hAnsi="Palatino Linotype" w:cs="Calibri"/>
                <w:color w:val="000000"/>
                <w:sz w:val="22"/>
                <w:szCs w:val="22"/>
              </w:rPr>
              <w:t>,</w:t>
            </w:r>
            <w:r w:rsidRPr="00B360C0">
              <w:rPr>
                <w:rFonts w:ascii="Palatino Linotype" w:hAnsi="Palatino Linotype" w:cs="Calibri"/>
                <w:color w:val="000000"/>
                <w:sz w:val="22"/>
                <w:szCs w:val="22"/>
              </w:rPr>
              <w:t>370</w:t>
            </w:r>
          </w:p>
        </w:tc>
      </w:tr>
      <w:tr w:rsidR="00B360C0" w:rsidRPr="00A422C0" w14:paraId="5564CA64" w14:textId="77777777" w:rsidTr="00353A4C">
        <w:trPr>
          <w:trHeight w:val="264"/>
        </w:trPr>
        <w:tc>
          <w:tcPr>
            <w:tcW w:w="4911" w:type="dxa"/>
            <w:tcBorders>
              <w:top w:val="nil"/>
              <w:left w:val="nil"/>
              <w:right w:val="nil"/>
            </w:tcBorders>
            <w:shd w:val="clear" w:color="auto" w:fill="auto"/>
            <w:noWrap/>
            <w:vAlign w:val="bottom"/>
          </w:tcPr>
          <w:p w14:paraId="6BCA3154" w14:textId="77777777" w:rsidR="00B360C0" w:rsidRPr="00A422C0" w:rsidRDefault="00B360C0" w:rsidP="00B360C0">
            <w:pPr>
              <w:rPr>
                <w:rFonts w:ascii="Palatino Linotype" w:hAnsi="Palatino Linotype" w:cs="Arial"/>
                <w:color w:val="000000" w:themeColor="text1"/>
                <w:sz w:val="22"/>
                <w:szCs w:val="22"/>
                <w:highlight w:val="yellow"/>
              </w:rPr>
            </w:pPr>
            <w:r w:rsidRPr="00A422C0">
              <w:rPr>
                <w:rFonts w:ascii="Palatino Linotype" w:hAnsi="Palatino Linotype" w:cs="Arial"/>
                <w:color w:val="000000" w:themeColor="text1"/>
                <w:sz w:val="22"/>
                <w:szCs w:val="22"/>
              </w:rPr>
              <w:t>Investment ($, mil.)</w:t>
            </w:r>
          </w:p>
        </w:tc>
        <w:tc>
          <w:tcPr>
            <w:tcW w:w="924" w:type="dxa"/>
            <w:tcBorders>
              <w:top w:val="nil"/>
              <w:left w:val="nil"/>
              <w:right w:val="nil"/>
            </w:tcBorders>
            <w:shd w:val="clear" w:color="auto" w:fill="auto"/>
            <w:noWrap/>
            <w:vAlign w:val="bottom"/>
          </w:tcPr>
          <w:p w14:paraId="46D34659" w14:textId="05D8062B" w:rsidR="00B360C0" w:rsidRPr="00B360C0" w:rsidRDefault="00B360C0" w:rsidP="00B360C0">
            <w:pPr>
              <w:jc w:val="right"/>
              <w:rPr>
                <w:rFonts w:ascii="Palatino Linotype" w:hAnsi="Palatino Linotype" w:cs="Arial"/>
                <w:color w:val="000000" w:themeColor="text1"/>
                <w:sz w:val="22"/>
                <w:szCs w:val="22"/>
              </w:rPr>
            </w:pPr>
            <w:r w:rsidRPr="00B360C0">
              <w:rPr>
                <w:rFonts w:ascii="Palatino Linotype" w:hAnsi="Palatino Linotype" w:cs="Calibri"/>
                <w:color w:val="000000"/>
                <w:sz w:val="22"/>
                <w:szCs w:val="22"/>
              </w:rPr>
              <w:t>-121</w:t>
            </w:r>
          </w:p>
        </w:tc>
        <w:tc>
          <w:tcPr>
            <w:tcW w:w="985" w:type="dxa"/>
            <w:tcBorders>
              <w:top w:val="nil"/>
              <w:left w:val="nil"/>
              <w:right w:val="nil"/>
            </w:tcBorders>
            <w:vAlign w:val="bottom"/>
          </w:tcPr>
          <w:p w14:paraId="323E8E4A" w14:textId="54F83E7A" w:rsidR="00B360C0" w:rsidRPr="00B360C0" w:rsidRDefault="00B360C0" w:rsidP="00B360C0">
            <w:pPr>
              <w:jc w:val="right"/>
              <w:rPr>
                <w:rFonts w:ascii="Palatino Linotype" w:hAnsi="Palatino Linotype" w:cs="Arial"/>
                <w:color w:val="000000" w:themeColor="text1"/>
                <w:sz w:val="22"/>
                <w:szCs w:val="22"/>
              </w:rPr>
            </w:pPr>
            <w:r w:rsidRPr="00B360C0">
              <w:rPr>
                <w:rFonts w:ascii="Palatino Linotype" w:hAnsi="Palatino Linotype" w:cs="Calibri"/>
                <w:color w:val="000000"/>
                <w:sz w:val="22"/>
                <w:szCs w:val="22"/>
              </w:rPr>
              <w:t>-125</w:t>
            </w:r>
          </w:p>
        </w:tc>
        <w:tc>
          <w:tcPr>
            <w:tcW w:w="925" w:type="dxa"/>
            <w:tcBorders>
              <w:top w:val="nil"/>
              <w:left w:val="nil"/>
              <w:right w:val="nil"/>
            </w:tcBorders>
            <w:shd w:val="clear" w:color="auto" w:fill="auto"/>
            <w:noWrap/>
            <w:vAlign w:val="bottom"/>
          </w:tcPr>
          <w:p w14:paraId="24E56B13" w14:textId="566A188B" w:rsidR="00B360C0" w:rsidRPr="00B360C0" w:rsidRDefault="00B360C0" w:rsidP="00B360C0">
            <w:pPr>
              <w:jc w:val="right"/>
              <w:rPr>
                <w:rFonts w:ascii="Palatino Linotype" w:hAnsi="Palatino Linotype" w:cs="Arial"/>
                <w:color w:val="000000" w:themeColor="text1"/>
                <w:sz w:val="22"/>
                <w:szCs w:val="22"/>
              </w:rPr>
            </w:pPr>
            <w:r w:rsidRPr="00B360C0">
              <w:rPr>
                <w:rFonts w:ascii="Palatino Linotype" w:hAnsi="Palatino Linotype" w:cs="Calibri"/>
                <w:color w:val="000000"/>
                <w:sz w:val="22"/>
                <w:szCs w:val="22"/>
              </w:rPr>
              <w:t>-129</w:t>
            </w:r>
          </w:p>
        </w:tc>
        <w:tc>
          <w:tcPr>
            <w:tcW w:w="925" w:type="dxa"/>
            <w:tcBorders>
              <w:top w:val="nil"/>
              <w:left w:val="nil"/>
              <w:right w:val="nil"/>
            </w:tcBorders>
            <w:shd w:val="clear" w:color="auto" w:fill="auto"/>
            <w:noWrap/>
            <w:vAlign w:val="bottom"/>
          </w:tcPr>
          <w:p w14:paraId="1049889A" w14:textId="0D84A805" w:rsidR="00B360C0" w:rsidRPr="00B360C0" w:rsidRDefault="00B360C0" w:rsidP="00B360C0">
            <w:pPr>
              <w:jc w:val="right"/>
              <w:rPr>
                <w:rFonts w:ascii="Palatino Linotype" w:hAnsi="Palatino Linotype" w:cs="Arial"/>
                <w:color w:val="000000" w:themeColor="text1"/>
                <w:sz w:val="22"/>
                <w:szCs w:val="22"/>
              </w:rPr>
            </w:pPr>
            <w:r w:rsidRPr="00B360C0">
              <w:rPr>
                <w:rFonts w:ascii="Palatino Linotype" w:hAnsi="Palatino Linotype" w:cs="Calibri"/>
                <w:color w:val="000000"/>
                <w:sz w:val="22"/>
                <w:szCs w:val="22"/>
              </w:rPr>
              <w:t>-133</w:t>
            </w:r>
          </w:p>
        </w:tc>
        <w:tc>
          <w:tcPr>
            <w:tcW w:w="925" w:type="dxa"/>
            <w:tcBorders>
              <w:top w:val="nil"/>
              <w:left w:val="nil"/>
              <w:right w:val="nil"/>
            </w:tcBorders>
            <w:shd w:val="clear" w:color="auto" w:fill="auto"/>
            <w:noWrap/>
            <w:vAlign w:val="bottom"/>
          </w:tcPr>
          <w:p w14:paraId="700A4778" w14:textId="51319574" w:rsidR="00B360C0" w:rsidRPr="00B360C0" w:rsidRDefault="00B360C0" w:rsidP="00B360C0">
            <w:pPr>
              <w:jc w:val="right"/>
              <w:rPr>
                <w:rFonts w:ascii="Palatino Linotype" w:hAnsi="Palatino Linotype" w:cs="Arial"/>
                <w:color w:val="000000" w:themeColor="text1"/>
                <w:sz w:val="22"/>
                <w:szCs w:val="22"/>
              </w:rPr>
            </w:pPr>
            <w:r w:rsidRPr="00B360C0">
              <w:rPr>
                <w:rFonts w:ascii="Palatino Linotype" w:hAnsi="Palatino Linotype" w:cs="Calibri"/>
                <w:color w:val="000000"/>
                <w:sz w:val="22"/>
                <w:szCs w:val="22"/>
              </w:rPr>
              <w:t>-137</w:t>
            </w:r>
          </w:p>
        </w:tc>
      </w:tr>
      <w:tr w:rsidR="00B360C0" w:rsidRPr="00A422C0" w14:paraId="14929CC2" w14:textId="77777777" w:rsidTr="00353A4C">
        <w:trPr>
          <w:trHeight w:val="264"/>
        </w:trPr>
        <w:tc>
          <w:tcPr>
            <w:tcW w:w="4911" w:type="dxa"/>
            <w:tcBorders>
              <w:top w:val="nil"/>
              <w:left w:val="nil"/>
              <w:right w:val="nil"/>
            </w:tcBorders>
            <w:shd w:val="clear" w:color="auto" w:fill="auto"/>
            <w:noWrap/>
            <w:vAlign w:val="bottom"/>
            <w:hideMark/>
          </w:tcPr>
          <w:p w14:paraId="16B54BA7" w14:textId="77777777" w:rsidR="00B360C0" w:rsidRPr="00A422C0" w:rsidRDefault="00B360C0" w:rsidP="00B360C0">
            <w:pPr>
              <w:rPr>
                <w:rFonts w:ascii="Palatino Linotype" w:hAnsi="Palatino Linotype" w:cs="Arial"/>
                <w:color w:val="000000" w:themeColor="text1"/>
                <w:sz w:val="22"/>
                <w:szCs w:val="22"/>
              </w:rPr>
            </w:pPr>
            <w:r w:rsidRPr="00A422C0">
              <w:rPr>
                <w:rFonts w:ascii="Palatino Linotype" w:hAnsi="Palatino Linotype" w:cs="Arial"/>
                <w:color w:val="000000" w:themeColor="text1"/>
                <w:sz w:val="22"/>
                <w:szCs w:val="22"/>
              </w:rPr>
              <w:t>Disposable income, real ($, mil.)</w:t>
            </w:r>
          </w:p>
        </w:tc>
        <w:tc>
          <w:tcPr>
            <w:tcW w:w="924" w:type="dxa"/>
            <w:tcBorders>
              <w:top w:val="nil"/>
              <w:left w:val="nil"/>
              <w:right w:val="nil"/>
            </w:tcBorders>
            <w:shd w:val="clear" w:color="auto" w:fill="auto"/>
            <w:noWrap/>
            <w:vAlign w:val="bottom"/>
          </w:tcPr>
          <w:p w14:paraId="4423F9AB" w14:textId="776C9E70" w:rsidR="00B360C0" w:rsidRPr="00B360C0" w:rsidRDefault="00B360C0" w:rsidP="00B360C0">
            <w:pPr>
              <w:jc w:val="right"/>
              <w:rPr>
                <w:rFonts w:ascii="Palatino Linotype" w:hAnsi="Palatino Linotype" w:cs="Arial"/>
                <w:color w:val="000000" w:themeColor="text1"/>
                <w:sz w:val="22"/>
                <w:szCs w:val="22"/>
              </w:rPr>
            </w:pPr>
            <w:r w:rsidRPr="00B360C0">
              <w:rPr>
                <w:rFonts w:ascii="Palatino Linotype" w:hAnsi="Palatino Linotype" w:cs="Calibri"/>
                <w:color w:val="000000"/>
                <w:sz w:val="22"/>
                <w:szCs w:val="22"/>
              </w:rPr>
              <w:t>-1</w:t>
            </w:r>
            <w:r>
              <w:rPr>
                <w:rFonts w:ascii="Palatino Linotype" w:hAnsi="Palatino Linotype" w:cs="Calibri"/>
                <w:color w:val="000000"/>
                <w:sz w:val="22"/>
                <w:szCs w:val="22"/>
              </w:rPr>
              <w:t>,</w:t>
            </w:r>
            <w:r w:rsidRPr="00B360C0">
              <w:rPr>
                <w:rFonts w:ascii="Palatino Linotype" w:hAnsi="Palatino Linotype" w:cs="Calibri"/>
                <w:color w:val="000000"/>
                <w:sz w:val="22"/>
                <w:szCs w:val="22"/>
              </w:rPr>
              <w:t>691</w:t>
            </w:r>
          </w:p>
        </w:tc>
        <w:tc>
          <w:tcPr>
            <w:tcW w:w="985" w:type="dxa"/>
            <w:tcBorders>
              <w:top w:val="nil"/>
              <w:left w:val="nil"/>
              <w:right w:val="nil"/>
            </w:tcBorders>
            <w:vAlign w:val="bottom"/>
          </w:tcPr>
          <w:p w14:paraId="332DF136" w14:textId="50B51FF0" w:rsidR="00B360C0" w:rsidRPr="00B360C0" w:rsidRDefault="00B360C0" w:rsidP="00B360C0">
            <w:pPr>
              <w:jc w:val="right"/>
              <w:rPr>
                <w:rFonts w:ascii="Palatino Linotype" w:hAnsi="Palatino Linotype" w:cs="Arial"/>
                <w:color w:val="000000" w:themeColor="text1"/>
                <w:sz w:val="22"/>
                <w:szCs w:val="22"/>
              </w:rPr>
            </w:pPr>
            <w:r w:rsidRPr="00B360C0">
              <w:rPr>
                <w:rFonts w:ascii="Palatino Linotype" w:hAnsi="Palatino Linotype" w:cs="Calibri"/>
                <w:color w:val="000000"/>
                <w:sz w:val="22"/>
                <w:szCs w:val="22"/>
              </w:rPr>
              <w:t>-1</w:t>
            </w:r>
            <w:r>
              <w:rPr>
                <w:rFonts w:ascii="Palatino Linotype" w:hAnsi="Palatino Linotype" w:cs="Calibri"/>
                <w:color w:val="000000"/>
                <w:sz w:val="22"/>
                <w:szCs w:val="22"/>
              </w:rPr>
              <w:t>,</w:t>
            </w:r>
            <w:r w:rsidRPr="00B360C0">
              <w:rPr>
                <w:rFonts w:ascii="Palatino Linotype" w:hAnsi="Palatino Linotype" w:cs="Calibri"/>
                <w:color w:val="000000"/>
                <w:sz w:val="22"/>
                <w:szCs w:val="22"/>
              </w:rPr>
              <w:t>735</w:t>
            </w:r>
          </w:p>
        </w:tc>
        <w:tc>
          <w:tcPr>
            <w:tcW w:w="925" w:type="dxa"/>
            <w:tcBorders>
              <w:top w:val="nil"/>
              <w:left w:val="nil"/>
              <w:right w:val="nil"/>
            </w:tcBorders>
            <w:shd w:val="clear" w:color="auto" w:fill="auto"/>
            <w:noWrap/>
            <w:vAlign w:val="bottom"/>
          </w:tcPr>
          <w:p w14:paraId="048B612A" w14:textId="48628569" w:rsidR="00B360C0" w:rsidRPr="00B360C0" w:rsidRDefault="00B360C0" w:rsidP="00B360C0">
            <w:pPr>
              <w:jc w:val="right"/>
              <w:rPr>
                <w:rFonts w:ascii="Palatino Linotype" w:hAnsi="Palatino Linotype" w:cs="Arial"/>
                <w:color w:val="000000" w:themeColor="text1"/>
                <w:sz w:val="22"/>
                <w:szCs w:val="22"/>
              </w:rPr>
            </w:pPr>
            <w:r w:rsidRPr="00B360C0">
              <w:rPr>
                <w:rFonts w:ascii="Palatino Linotype" w:hAnsi="Palatino Linotype" w:cs="Calibri"/>
                <w:color w:val="000000"/>
                <w:sz w:val="22"/>
                <w:szCs w:val="22"/>
              </w:rPr>
              <w:t>-1</w:t>
            </w:r>
            <w:r>
              <w:rPr>
                <w:rFonts w:ascii="Palatino Linotype" w:hAnsi="Palatino Linotype" w:cs="Calibri"/>
                <w:color w:val="000000"/>
                <w:sz w:val="22"/>
                <w:szCs w:val="22"/>
              </w:rPr>
              <w:t>,</w:t>
            </w:r>
            <w:r w:rsidRPr="00B360C0">
              <w:rPr>
                <w:rFonts w:ascii="Palatino Linotype" w:hAnsi="Palatino Linotype" w:cs="Calibri"/>
                <w:color w:val="000000"/>
                <w:sz w:val="22"/>
                <w:szCs w:val="22"/>
              </w:rPr>
              <w:t>780</w:t>
            </w:r>
          </w:p>
        </w:tc>
        <w:tc>
          <w:tcPr>
            <w:tcW w:w="925" w:type="dxa"/>
            <w:tcBorders>
              <w:top w:val="nil"/>
              <w:left w:val="nil"/>
              <w:right w:val="nil"/>
            </w:tcBorders>
            <w:shd w:val="clear" w:color="auto" w:fill="auto"/>
            <w:noWrap/>
            <w:vAlign w:val="bottom"/>
          </w:tcPr>
          <w:p w14:paraId="721B32BD" w14:textId="371146B6" w:rsidR="00B360C0" w:rsidRPr="00B360C0" w:rsidRDefault="00B360C0" w:rsidP="00B360C0">
            <w:pPr>
              <w:jc w:val="right"/>
              <w:rPr>
                <w:rFonts w:ascii="Palatino Linotype" w:hAnsi="Palatino Linotype" w:cs="Arial"/>
                <w:color w:val="000000" w:themeColor="text1"/>
                <w:sz w:val="22"/>
                <w:szCs w:val="22"/>
              </w:rPr>
            </w:pPr>
            <w:r w:rsidRPr="00B360C0">
              <w:rPr>
                <w:rFonts w:ascii="Palatino Linotype" w:hAnsi="Palatino Linotype" w:cs="Calibri"/>
                <w:color w:val="000000"/>
                <w:sz w:val="22"/>
                <w:szCs w:val="22"/>
              </w:rPr>
              <w:t>-1</w:t>
            </w:r>
            <w:r>
              <w:rPr>
                <w:rFonts w:ascii="Palatino Linotype" w:hAnsi="Palatino Linotype" w:cs="Calibri"/>
                <w:color w:val="000000"/>
                <w:sz w:val="22"/>
                <w:szCs w:val="22"/>
              </w:rPr>
              <w:t>,</w:t>
            </w:r>
            <w:r w:rsidRPr="00B360C0">
              <w:rPr>
                <w:rFonts w:ascii="Palatino Linotype" w:hAnsi="Palatino Linotype" w:cs="Calibri"/>
                <w:color w:val="000000"/>
                <w:sz w:val="22"/>
                <w:szCs w:val="22"/>
              </w:rPr>
              <w:t>824</w:t>
            </w:r>
          </w:p>
        </w:tc>
        <w:tc>
          <w:tcPr>
            <w:tcW w:w="925" w:type="dxa"/>
            <w:tcBorders>
              <w:top w:val="nil"/>
              <w:left w:val="nil"/>
              <w:right w:val="nil"/>
            </w:tcBorders>
            <w:shd w:val="clear" w:color="auto" w:fill="auto"/>
            <w:noWrap/>
            <w:vAlign w:val="bottom"/>
          </w:tcPr>
          <w:p w14:paraId="18767C7E" w14:textId="725EB984" w:rsidR="00B360C0" w:rsidRPr="00B360C0" w:rsidRDefault="00B360C0" w:rsidP="00B360C0">
            <w:pPr>
              <w:jc w:val="right"/>
              <w:rPr>
                <w:rFonts w:ascii="Palatino Linotype" w:hAnsi="Palatino Linotype" w:cs="Arial"/>
                <w:color w:val="000000" w:themeColor="text1"/>
                <w:sz w:val="22"/>
                <w:szCs w:val="22"/>
              </w:rPr>
            </w:pPr>
            <w:r w:rsidRPr="00B360C0">
              <w:rPr>
                <w:rFonts w:ascii="Palatino Linotype" w:hAnsi="Palatino Linotype" w:cs="Calibri"/>
                <w:color w:val="000000"/>
                <w:sz w:val="22"/>
                <w:szCs w:val="22"/>
              </w:rPr>
              <w:t>-1</w:t>
            </w:r>
            <w:r>
              <w:rPr>
                <w:rFonts w:ascii="Palatino Linotype" w:hAnsi="Palatino Linotype" w:cs="Calibri"/>
                <w:color w:val="000000"/>
                <w:sz w:val="22"/>
                <w:szCs w:val="22"/>
              </w:rPr>
              <w:t>,</w:t>
            </w:r>
            <w:r w:rsidRPr="00B360C0">
              <w:rPr>
                <w:rFonts w:ascii="Palatino Linotype" w:hAnsi="Palatino Linotype" w:cs="Calibri"/>
                <w:color w:val="000000"/>
                <w:sz w:val="22"/>
                <w:szCs w:val="22"/>
              </w:rPr>
              <w:t>866</w:t>
            </w:r>
          </w:p>
        </w:tc>
      </w:tr>
      <w:tr w:rsidR="00B360C0" w:rsidRPr="00A422C0" w14:paraId="00540A50" w14:textId="77777777" w:rsidTr="00353A4C">
        <w:trPr>
          <w:trHeight w:val="264"/>
        </w:trPr>
        <w:tc>
          <w:tcPr>
            <w:tcW w:w="4911" w:type="dxa"/>
            <w:tcBorders>
              <w:top w:val="nil"/>
              <w:left w:val="nil"/>
              <w:right w:val="nil"/>
            </w:tcBorders>
            <w:shd w:val="clear" w:color="auto" w:fill="auto"/>
            <w:noWrap/>
            <w:vAlign w:val="bottom"/>
            <w:hideMark/>
          </w:tcPr>
          <w:p w14:paraId="57946DAE" w14:textId="77777777" w:rsidR="00B360C0" w:rsidRPr="00A422C0" w:rsidRDefault="00B360C0" w:rsidP="00B360C0">
            <w:pPr>
              <w:rPr>
                <w:rFonts w:ascii="Palatino Linotype" w:hAnsi="Palatino Linotype" w:cs="Arial"/>
                <w:color w:val="000000" w:themeColor="text1"/>
                <w:sz w:val="22"/>
                <w:szCs w:val="22"/>
              </w:rPr>
            </w:pPr>
            <w:r w:rsidRPr="00A422C0">
              <w:rPr>
                <w:rFonts w:ascii="Palatino Linotype" w:hAnsi="Palatino Linotype" w:cs="Arial"/>
                <w:color w:val="000000" w:themeColor="text1"/>
                <w:sz w:val="22"/>
                <w:szCs w:val="22"/>
              </w:rPr>
              <w:t>Cost per household ($)</w:t>
            </w:r>
          </w:p>
        </w:tc>
        <w:tc>
          <w:tcPr>
            <w:tcW w:w="924" w:type="dxa"/>
            <w:tcBorders>
              <w:top w:val="nil"/>
              <w:left w:val="nil"/>
              <w:right w:val="nil"/>
            </w:tcBorders>
            <w:shd w:val="clear" w:color="auto" w:fill="auto"/>
            <w:noWrap/>
            <w:vAlign w:val="bottom"/>
          </w:tcPr>
          <w:p w14:paraId="744096AE" w14:textId="7C383ECF" w:rsidR="00B360C0" w:rsidRPr="00B360C0" w:rsidRDefault="00B360C0" w:rsidP="00B360C0">
            <w:pPr>
              <w:jc w:val="right"/>
              <w:rPr>
                <w:rFonts w:ascii="Palatino Linotype" w:hAnsi="Palatino Linotype" w:cs="Arial"/>
                <w:color w:val="000000" w:themeColor="text1"/>
                <w:sz w:val="22"/>
                <w:szCs w:val="22"/>
              </w:rPr>
            </w:pPr>
            <w:r w:rsidRPr="00B360C0">
              <w:rPr>
                <w:rFonts w:ascii="Palatino Linotype" w:hAnsi="Palatino Linotype" w:cs="Calibri"/>
                <w:color w:val="000000"/>
                <w:sz w:val="22"/>
                <w:szCs w:val="22"/>
              </w:rPr>
              <w:t>540</w:t>
            </w:r>
          </w:p>
        </w:tc>
        <w:tc>
          <w:tcPr>
            <w:tcW w:w="985" w:type="dxa"/>
            <w:tcBorders>
              <w:top w:val="nil"/>
              <w:left w:val="nil"/>
              <w:right w:val="nil"/>
            </w:tcBorders>
            <w:vAlign w:val="bottom"/>
          </w:tcPr>
          <w:p w14:paraId="6CE195AF" w14:textId="541FB0A5" w:rsidR="00B360C0" w:rsidRPr="00B360C0" w:rsidRDefault="00B360C0" w:rsidP="00B360C0">
            <w:pPr>
              <w:jc w:val="right"/>
              <w:rPr>
                <w:rFonts w:ascii="Palatino Linotype" w:hAnsi="Palatino Linotype" w:cs="Arial"/>
                <w:color w:val="000000" w:themeColor="text1"/>
                <w:sz w:val="22"/>
                <w:szCs w:val="22"/>
              </w:rPr>
            </w:pPr>
            <w:r w:rsidRPr="00B360C0">
              <w:rPr>
                <w:rFonts w:ascii="Palatino Linotype" w:hAnsi="Palatino Linotype" w:cs="Calibri"/>
                <w:color w:val="000000"/>
                <w:sz w:val="22"/>
                <w:szCs w:val="22"/>
              </w:rPr>
              <w:t>554</w:t>
            </w:r>
          </w:p>
        </w:tc>
        <w:tc>
          <w:tcPr>
            <w:tcW w:w="925" w:type="dxa"/>
            <w:tcBorders>
              <w:top w:val="nil"/>
              <w:left w:val="nil"/>
              <w:right w:val="nil"/>
            </w:tcBorders>
            <w:shd w:val="clear" w:color="auto" w:fill="auto"/>
            <w:noWrap/>
            <w:vAlign w:val="bottom"/>
          </w:tcPr>
          <w:p w14:paraId="253839CF" w14:textId="4F0F6ED5" w:rsidR="00B360C0" w:rsidRPr="00B360C0" w:rsidRDefault="00B360C0" w:rsidP="00B360C0">
            <w:pPr>
              <w:jc w:val="right"/>
              <w:rPr>
                <w:rFonts w:ascii="Palatino Linotype" w:hAnsi="Palatino Linotype" w:cs="Arial"/>
                <w:color w:val="000000" w:themeColor="text1"/>
                <w:sz w:val="22"/>
                <w:szCs w:val="22"/>
              </w:rPr>
            </w:pPr>
            <w:r w:rsidRPr="00B360C0">
              <w:rPr>
                <w:rFonts w:ascii="Palatino Linotype" w:hAnsi="Palatino Linotype" w:cs="Calibri"/>
                <w:color w:val="000000"/>
                <w:sz w:val="22"/>
                <w:szCs w:val="22"/>
              </w:rPr>
              <w:t>570</w:t>
            </w:r>
          </w:p>
        </w:tc>
        <w:tc>
          <w:tcPr>
            <w:tcW w:w="925" w:type="dxa"/>
            <w:tcBorders>
              <w:top w:val="nil"/>
              <w:left w:val="nil"/>
              <w:right w:val="nil"/>
            </w:tcBorders>
            <w:shd w:val="clear" w:color="auto" w:fill="auto"/>
            <w:noWrap/>
            <w:vAlign w:val="bottom"/>
          </w:tcPr>
          <w:p w14:paraId="790E8EF1" w14:textId="2C84DB81" w:rsidR="00B360C0" w:rsidRPr="00B360C0" w:rsidRDefault="00B360C0" w:rsidP="00B360C0">
            <w:pPr>
              <w:jc w:val="right"/>
              <w:rPr>
                <w:rFonts w:ascii="Palatino Linotype" w:hAnsi="Palatino Linotype" w:cs="Arial"/>
                <w:color w:val="000000" w:themeColor="text1"/>
                <w:sz w:val="22"/>
                <w:szCs w:val="22"/>
              </w:rPr>
            </w:pPr>
            <w:r w:rsidRPr="00B360C0">
              <w:rPr>
                <w:rFonts w:ascii="Palatino Linotype" w:hAnsi="Palatino Linotype" w:cs="Calibri"/>
                <w:color w:val="000000"/>
                <w:sz w:val="22"/>
                <w:szCs w:val="22"/>
              </w:rPr>
              <w:t>584</w:t>
            </w:r>
          </w:p>
        </w:tc>
        <w:tc>
          <w:tcPr>
            <w:tcW w:w="925" w:type="dxa"/>
            <w:tcBorders>
              <w:top w:val="nil"/>
              <w:left w:val="nil"/>
              <w:right w:val="nil"/>
            </w:tcBorders>
            <w:shd w:val="clear" w:color="auto" w:fill="auto"/>
            <w:noWrap/>
            <w:vAlign w:val="bottom"/>
          </w:tcPr>
          <w:p w14:paraId="3E8E9E19" w14:textId="28D434C9" w:rsidR="00B360C0" w:rsidRPr="00B360C0" w:rsidRDefault="00B360C0" w:rsidP="00B360C0">
            <w:pPr>
              <w:jc w:val="right"/>
              <w:rPr>
                <w:rFonts w:ascii="Palatino Linotype" w:hAnsi="Palatino Linotype" w:cs="Arial"/>
                <w:color w:val="000000" w:themeColor="text1"/>
                <w:sz w:val="22"/>
                <w:szCs w:val="22"/>
              </w:rPr>
            </w:pPr>
            <w:r w:rsidRPr="00B360C0">
              <w:rPr>
                <w:rFonts w:ascii="Palatino Linotype" w:hAnsi="Palatino Linotype" w:cs="Calibri"/>
                <w:color w:val="000000"/>
                <w:sz w:val="22"/>
                <w:szCs w:val="22"/>
              </w:rPr>
              <w:t>597</w:t>
            </w:r>
          </w:p>
        </w:tc>
      </w:tr>
      <w:tr w:rsidR="00B360C0" w:rsidRPr="00A422C0" w14:paraId="186F1DED" w14:textId="77777777" w:rsidTr="00353A4C">
        <w:trPr>
          <w:trHeight w:val="264"/>
        </w:trPr>
        <w:tc>
          <w:tcPr>
            <w:tcW w:w="4911" w:type="dxa"/>
            <w:tcBorders>
              <w:top w:val="single" w:sz="4" w:space="0" w:color="auto"/>
              <w:left w:val="nil"/>
              <w:right w:val="nil"/>
            </w:tcBorders>
            <w:shd w:val="clear" w:color="auto" w:fill="auto"/>
            <w:noWrap/>
            <w:vAlign w:val="bottom"/>
            <w:hideMark/>
          </w:tcPr>
          <w:p w14:paraId="331C61C0" w14:textId="77777777" w:rsidR="00B360C0" w:rsidRPr="00A422C0" w:rsidRDefault="00B360C0" w:rsidP="00B360C0">
            <w:pPr>
              <w:rPr>
                <w:rFonts w:ascii="Palatino Linotype" w:hAnsi="Palatino Linotype" w:cs="Arial"/>
                <w:color w:val="000000" w:themeColor="text1"/>
                <w:sz w:val="22"/>
                <w:szCs w:val="22"/>
              </w:rPr>
            </w:pPr>
            <w:r w:rsidRPr="00A422C0">
              <w:rPr>
                <w:rFonts w:ascii="Palatino Linotype" w:hAnsi="Palatino Linotype" w:cs="Arial"/>
                <w:color w:val="000000" w:themeColor="text1"/>
                <w:sz w:val="22"/>
                <w:szCs w:val="22"/>
              </w:rPr>
              <w:t>Total social cost of TCI ($, mil.)</w:t>
            </w:r>
          </w:p>
        </w:tc>
        <w:tc>
          <w:tcPr>
            <w:tcW w:w="924" w:type="dxa"/>
            <w:tcBorders>
              <w:top w:val="single" w:sz="4" w:space="0" w:color="auto"/>
              <w:left w:val="nil"/>
              <w:right w:val="nil"/>
            </w:tcBorders>
            <w:shd w:val="clear" w:color="auto" w:fill="auto"/>
            <w:noWrap/>
            <w:vAlign w:val="bottom"/>
          </w:tcPr>
          <w:p w14:paraId="62DECF8D" w14:textId="7D021933" w:rsidR="00B360C0" w:rsidRPr="00B360C0" w:rsidRDefault="00B360C0" w:rsidP="00B360C0">
            <w:pPr>
              <w:jc w:val="right"/>
              <w:rPr>
                <w:rFonts w:ascii="Palatino Linotype" w:hAnsi="Palatino Linotype" w:cs="Arial"/>
                <w:color w:val="000000" w:themeColor="text1"/>
                <w:sz w:val="22"/>
                <w:szCs w:val="22"/>
              </w:rPr>
            </w:pPr>
            <w:r w:rsidRPr="00B360C0">
              <w:rPr>
                <w:rFonts w:ascii="Palatino Linotype" w:hAnsi="Palatino Linotype" w:cs="Calibri"/>
                <w:color w:val="000000"/>
                <w:sz w:val="22"/>
                <w:szCs w:val="22"/>
              </w:rPr>
              <w:t>793</w:t>
            </w:r>
          </w:p>
        </w:tc>
        <w:tc>
          <w:tcPr>
            <w:tcW w:w="985" w:type="dxa"/>
            <w:tcBorders>
              <w:top w:val="single" w:sz="4" w:space="0" w:color="auto"/>
              <w:left w:val="nil"/>
              <w:right w:val="nil"/>
            </w:tcBorders>
            <w:vAlign w:val="bottom"/>
          </w:tcPr>
          <w:p w14:paraId="18CD436B" w14:textId="58BF9346" w:rsidR="00B360C0" w:rsidRPr="00B360C0" w:rsidRDefault="00B360C0" w:rsidP="00B360C0">
            <w:pPr>
              <w:jc w:val="right"/>
              <w:rPr>
                <w:rFonts w:ascii="Palatino Linotype" w:hAnsi="Palatino Linotype" w:cs="Arial"/>
                <w:color w:val="000000" w:themeColor="text1"/>
                <w:sz w:val="22"/>
                <w:szCs w:val="22"/>
              </w:rPr>
            </w:pPr>
            <w:r w:rsidRPr="00B360C0">
              <w:rPr>
                <w:rFonts w:ascii="Palatino Linotype" w:hAnsi="Palatino Linotype" w:cs="Calibri"/>
                <w:color w:val="000000"/>
                <w:sz w:val="22"/>
                <w:szCs w:val="22"/>
              </w:rPr>
              <w:t>778</w:t>
            </w:r>
          </w:p>
        </w:tc>
        <w:tc>
          <w:tcPr>
            <w:tcW w:w="925" w:type="dxa"/>
            <w:tcBorders>
              <w:top w:val="single" w:sz="4" w:space="0" w:color="auto"/>
              <w:left w:val="nil"/>
              <w:right w:val="nil"/>
            </w:tcBorders>
            <w:shd w:val="clear" w:color="auto" w:fill="auto"/>
            <w:noWrap/>
            <w:vAlign w:val="bottom"/>
          </w:tcPr>
          <w:p w14:paraId="15A028A1" w14:textId="350B47A0" w:rsidR="00B360C0" w:rsidRPr="00B360C0" w:rsidRDefault="00B360C0" w:rsidP="00B360C0">
            <w:pPr>
              <w:jc w:val="right"/>
              <w:rPr>
                <w:rFonts w:ascii="Palatino Linotype" w:hAnsi="Palatino Linotype" w:cs="Arial"/>
                <w:color w:val="000000" w:themeColor="text1"/>
                <w:sz w:val="22"/>
                <w:szCs w:val="22"/>
              </w:rPr>
            </w:pPr>
            <w:r w:rsidRPr="00B360C0">
              <w:rPr>
                <w:rFonts w:ascii="Palatino Linotype" w:hAnsi="Palatino Linotype" w:cs="Calibri"/>
                <w:color w:val="000000"/>
                <w:sz w:val="22"/>
                <w:szCs w:val="22"/>
              </w:rPr>
              <w:t>764</w:t>
            </w:r>
          </w:p>
        </w:tc>
        <w:tc>
          <w:tcPr>
            <w:tcW w:w="925" w:type="dxa"/>
            <w:tcBorders>
              <w:top w:val="single" w:sz="4" w:space="0" w:color="auto"/>
              <w:left w:val="nil"/>
              <w:right w:val="nil"/>
            </w:tcBorders>
            <w:shd w:val="clear" w:color="auto" w:fill="auto"/>
            <w:noWrap/>
            <w:vAlign w:val="bottom"/>
          </w:tcPr>
          <w:p w14:paraId="3C436A47" w14:textId="61A01619" w:rsidR="00B360C0" w:rsidRPr="00B360C0" w:rsidRDefault="00B360C0" w:rsidP="00B360C0">
            <w:pPr>
              <w:jc w:val="right"/>
              <w:rPr>
                <w:rFonts w:ascii="Palatino Linotype" w:hAnsi="Palatino Linotype" w:cs="Arial"/>
                <w:color w:val="000000" w:themeColor="text1"/>
                <w:sz w:val="22"/>
                <w:szCs w:val="22"/>
              </w:rPr>
            </w:pPr>
            <w:r w:rsidRPr="00B360C0">
              <w:rPr>
                <w:rFonts w:ascii="Palatino Linotype" w:hAnsi="Palatino Linotype" w:cs="Calibri"/>
                <w:color w:val="000000"/>
                <w:sz w:val="22"/>
                <w:szCs w:val="22"/>
              </w:rPr>
              <w:t>747</w:t>
            </w:r>
          </w:p>
        </w:tc>
        <w:tc>
          <w:tcPr>
            <w:tcW w:w="925" w:type="dxa"/>
            <w:tcBorders>
              <w:top w:val="single" w:sz="4" w:space="0" w:color="auto"/>
              <w:left w:val="nil"/>
              <w:right w:val="nil"/>
            </w:tcBorders>
            <w:shd w:val="clear" w:color="auto" w:fill="auto"/>
            <w:noWrap/>
            <w:vAlign w:val="bottom"/>
          </w:tcPr>
          <w:p w14:paraId="0150EBB5" w14:textId="2B1226BD" w:rsidR="00B360C0" w:rsidRPr="00B360C0" w:rsidRDefault="00B360C0" w:rsidP="00B360C0">
            <w:pPr>
              <w:jc w:val="right"/>
              <w:rPr>
                <w:rFonts w:ascii="Palatino Linotype" w:hAnsi="Palatino Linotype" w:cs="Arial"/>
                <w:color w:val="000000" w:themeColor="text1"/>
                <w:sz w:val="22"/>
                <w:szCs w:val="22"/>
              </w:rPr>
            </w:pPr>
            <w:r w:rsidRPr="00B360C0">
              <w:rPr>
                <w:rFonts w:ascii="Palatino Linotype" w:hAnsi="Palatino Linotype" w:cs="Calibri"/>
                <w:color w:val="000000"/>
                <w:sz w:val="22"/>
                <w:szCs w:val="22"/>
              </w:rPr>
              <w:t>733</w:t>
            </w:r>
          </w:p>
        </w:tc>
      </w:tr>
      <w:tr w:rsidR="00B360C0" w:rsidRPr="00A422C0" w14:paraId="7189F957" w14:textId="77777777" w:rsidTr="00D520F1">
        <w:trPr>
          <w:trHeight w:val="264"/>
        </w:trPr>
        <w:tc>
          <w:tcPr>
            <w:tcW w:w="4911" w:type="dxa"/>
            <w:tcBorders>
              <w:left w:val="nil"/>
              <w:right w:val="nil"/>
            </w:tcBorders>
            <w:shd w:val="clear" w:color="auto" w:fill="auto"/>
            <w:noWrap/>
            <w:vAlign w:val="bottom"/>
          </w:tcPr>
          <w:p w14:paraId="79DBD627" w14:textId="77777777" w:rsidR="00B360C0" w:rsidRPr="00A422C0" w:rsidRDefault="00B360C0" w:rsidP="00B360C0">
            <w:pPr>
              <w:rPr>
                <w:rFonts w:ascii="Palatino Linotype" w:hAnsi="Palatino Linotype" w:cs="Arial"/>
                <w:color w:val="000000" w:themeColor="text1"/>
                <w:sz w:val="22"/>
                <w:szCs w:val="22"/>
              </w:rPr>
            </w:pPr>
            <w:r w:rsidRPr="00A422C0">
              <w:rPr>
                <w:rFonts w:ascii="Palatino Linotype" w:hAnsi="Palatino Linotype" w:cs="Arial"/>
                <w:color w:val="000000" w:themeColor="text1"/>
                <w:sz w:val="22"/>
                <w:szCs w:val="22"/>
              </w:rPr>
              <w:t>Total social benefits of TCI ($, mil.)</w:t>
            </w:r>
          </w:p>
        </w:tc>
        <w:tc>
          <w:tcPr>
            <w:tcW w:w="924" w:type="dxa"/>
            <w:tcBorders>
              <w:left w:val="nil"/>
              <w:right w:val="nil"/>
            </w:tcBorders>
            <w:shd w:val="clear" w:color="auto" w:fill="auto"/>
            <w:noWrap/>
            <w:vAlign w:val="center"/>
          </w:tcPr>
          <w:p w14:paraId="01B37F55" w14:textId="262A3AD7" w:rsidR="00B360C0" w:rsidRPr="00B360C0" w:rsidRDefault="00B360C0" w:rsidP="00B360C0">
            <w:pPr>
              <w:jc w:val="right"/>
              <w:rPr>
                <w:rFonts w:ascii="Palatino Linotype" w:hAnsi="Palatino Linotype" w:cs="Arial"/>
                <w:color w:val="000000" w:themeColor="text1"/>
                <w:sz w:val="22"/>
                <w:szCs w:val="22"/>
              </w:rPr>
            </w:pPr>
            <w:r w:rsidRPr="00B360C0">
              <w:rPr>
                <w:rFonts w:ascii="Palatino Linotype" w:hAnsi="Palatino Linotype" w:cs="Calibri"/>
                <w:color w:val="000000" w:themeColor="text1"/>
                <w:sz w:val="22"/>
                <w:szCs w:val="22"/>
              </w:rPr>
              <w:t>26</w:t>
            </w:r>
          </w:p>
        </w:tc>
        <w:tc>
          <w:tcPr>
            <w:tcW w:w="985" w:type="dxa"/>
            <w:tcBorders>
              <w:left w:val="nil"/>
              <w:right w:val="nil"/>
            </w:tcBorders>
            <w:vAlign w:val="center"/>
          </w:tcPr>
          <w:p w14:paraId="5E28A3FD" w14:textId="10640264" w:rsidR="00B360C0" w:rsidRPr="00B360C0" w:rsidRDefault="00B360C0" w:rsidP="00B360C0">
            <w:pPr>
              <w:jc w:val="right"/>
              <w:rPr>
                <w:rFonts w:ascii="Palatino Linotype" w:hAnsi="Palatino Linotype" w:cs="Arial"/>
                <w:color w:val="000000" w:themeColor="text1"/>
                <w:sz w:val="22"/>
                <w:szCs w:val="22"/>
              </w:rPr>
            </w:pPr>
            <w:r w:rsidRPr="00B360C0">
              <w:rPr>
                <w:rFonts w:ascii="Palatino Linotype" w:hAnsi="Palatino Linotype" w:cs="Calibri"/>
                <w:color w:val="000000" w:themeColor="text1"/>
                <w:sz w:val="22"/>
                <w:szCs w:val="22"/>
              </w:rPr>
              <w:t>26</w:t>
            </w:r>
          </w:p>
        </w:tc>
        <w:tc>
          <w:tcPr>
            <w:tcW w:w="925" w:type="dxa"/>
            <w:tcBorders>
              <w:left w:val="nil"/>
              <w:right w:val="nil"/>
            </w:tcBorders>
            <w:shd w:val="clear" w:color="auto" w:fill="auto"/>
            <w:noWrap/>
            <w:vAlign w:val="center"/>
          </w:tcPr>
          <w:p w14:paraId="5827FF05" w14:textId="4056AAFA" w:rsidR="00B360C0" w:rsidRPr="00B360C0" w:rsidRDefault="00B360C0" w:rsidP="00B360C0">
            <w:pPr>
              <w:jc w:val="right"/>
              <w:rPr>
                <w:rFonts w:ascii="Palatino Linotype" w:hAnsi="Palatino Linotype" w:cs="Arial"/>
                <w:color w:val="000000" w:themeColor="text1"/>
                <w:sz w:val="22"/>
                <w:szCs w:val="22"/>
              </w:rPr>
            </w:pPr>
            <w:r w:rsidRPr="00B360C0">
              <w:rPr>
                <w:rFonts w:ascii="Palatino Linotype" w:hAnsi="Palatino Linotype" w:cs="Calibri"/>
                <w:color w:val="000000" w:themeColor="text1"/>
                <w:sz w:val="22"/>
                <w:szCs w:val="22"/>
              </w:rPr>
              <w:t>27</w:t>
            </w:r>
          </w:p>
        </w:tc>
        <w:tc>
          <w:tcPr>
            <w:tcW w:w="925" w:type="dxa"/>
            <w:tcBorders>
              <w:left w:val="nil"/>
              <w:right w:val="nil"/>
            </w:tcBorders>
            <w:shd w:val="clear" w:color="auto" w:fill="auto"/>
            <w:noWrap/>
            <w:vAlign w:val="center"/>
          </w:tcPr>
          <w:p w14:paraId="116F590E" w14:textId="48D23AF7" w:rsidR="00B360C0" w:rsidRPr="00B360C0" w:rsidRDefault="00B360C0" w:rsidP="00B360C0">
            <w:pPr>
              <w:jc w:val="right"/>
              <w:rPr>
                <w:rFonts w:ascii="Palatino Linotype" w:hAnsi="Palatino Linotype" w:cs="Arial"/>
                <w:color w:val="000000" w:themeColor="text1"/>
                <w:sz w:val="22"/>
                <w:szCs w:val="22"/>
              </w:rPr>
            </w:pPr>
            <w:r w:rsidRPr="00B360C0">
              <w:rPr>
                <w:rFonts w:ascii="Palatino Linotype" w:hAnsi="Palatino Linotype" w:cs="Calibri"/>
                <w:color w:val="000000" w:themeColor="text1"/>
                <w:sz w:val="22"/>
                <w:szCs w:val="22"/>
              </w:rPr>
              <w:t>27</w:t>
            </w:r>
          </w:p>
        </w:tc>
        <w:tc>
          <w:tcPr>
            <w:tcW w:w="925" w:type="dxa"/>
            <w:tcBorders>
              <w:left w:val="nil"/>
              <w:right w:val="nil"/>
            </w:tcBorders>
            <w:shd w:val="clear" w:color="auto" w:fill="auto"/>
            <w:noWrap/>
            <w:vAlign w:val="center"/>
          </w:tcPr>
          <w:p w14:paraId="77B839AF" w14:textId="0A31CE40" w:rsidR="00B360C0" w:rsidRPr="00B360C0" w:rsidRDefault="00B360C0" w:rsidP="00B360C0">
            <w:pPr>
              <w:jc w:val="right"/>
              <w:rPr>
                <w:rFonts w:ascii="Palatino Linotype" w:hAnsi="Palatino Linotype" w:cs="Arial"/>
                <w:color w:val="000000" w:themeColor="text1"/>
                <w:sz w:val="22"/>
                <w:szCs w:val="22"/>
              </w:rPr>
            </w:pPr>
            <w:r w:rsidRPr="00B360C0">
              <w:rPr>
                <w:rFonts w:ascii="Palatino Linotype" w:hAnsi="Palatino Linotype" w:cs="Calibri"/>
                <w:color w:val="000000" w:themeColor="text1"/>
                <w:sz w:val="22"/>
                <w:szCs w:val="22"/>
              </w:rPr>
              <w:t>28</w:t>
            </w:r>
          </w:p>
        </w:tc>
      </w:tr>
      <w:tr w:rsidR="00B360C0" w:rsidRPr="00A422C0" w14:paraId="1D78ADDF" w14:textId="77777777" w:rsidTr="00353A4C">
        <w:trPr>
          <w:trHeight w:val="264"/>
        </w:trPr>
        <w:tc>
          <w:tcPr>
            <w:tcW w:w="4911" w:type="dxa"/>
            <w:tcBorders>
              <w:top w:val="nil"/>
              <w:left w:val="nil"/>
              <w:bottom w:val="single" w:sz="4" w:space="0" w:color="auto"/>
              <w:right w:val="nil"/>
            </w:tcBorders>
            <w:shd w:val="clear" w:color="auto" w:fill="auto"/>
            <w:noWrap/>
            <w:vAlign w:val="bottom"/>
          </w:tcPr>
          <w:p w14:paraId="552F67BB" w14:textId="77777777" w:rsidR="00B360C0" w:rsidRPr="00A422C0" w:rsidRDefault="00B360C0" w:rsidP="00B360C0">
            <w:pPr>
              <w:rPr>
                <w:rFonts w:ascii="Palatino Linotype" w:hAnsi="Palatino Linotype" w:cs="Arial"/>
                <w:color w:val="000000" w:themeColor="text1"/>
                <w:sz w:val="22"/>
                <w:szCs w:val="22"/>
              </w:rPr>
            </w:pPr>
            <w:r w:rsidRPr="00A422C0">
              <w:rPr>
                <w:rFonts w:ascii="Palatino Linotype" w:hAnsi="Palatino Linotype" w:cs="Arial"/>
                <w:color w:val="000000" w:themeColor="text1"/>
                <w:sz w:val="22"/>
                <w:szCs w:val="22"/>
              </w:rPr>
              <w:t>Net benefits (-cost) of TCI ($, mil.)</w:t>
            </w:r>
          </w:p>
        </w:tc>
        <w:tc>
          <w:tcPr>
            <w:tcW w:w="924" w:type="dxa"/>
            <w:tcBorders>
              <w:top w:val="nil"/>
              <w:left w:val="nil"/>
              <w:bottom w:val="single" w:sz="4" w:space="0" w:color="auto"/>
              <w:right w:val="nil"/>
            </w:tcBorders>
            <w:shd w:val="clear" w:color="auto" w:fill="auto"/>
            <w:noWrap/>
            <w:vAlign w:val="bottom"/>
          </w:tcPr>
          <w:p w14:paraId="16AB44C8" w14:textId="39E14C12" w:rsidR="00B360C0" w:rsidRPr="00B360C0" w:rsidRDefault="00B360C0" w:rsidP="00B360C0">
            <w:pPr>
              <w:jc w:val="right"/>
              <w:rPr>
                <w:rFonts w:ascii="Palatino Linotype" w:hAnsi="Palatino Linotype" w:cs="Arial"/>
                <w:color w:val="000000" w:themeColor="text1"/>
                <w:sz w:val="22"/>
                <w:szCs w:val="22"/>
              </w:rPr>
            </w:pPr>
            <w:r w:rsidRPr="00B360C0">
              <w:rPr>
                <w:rFonts w:ascii="Palatino Linotype" w:hAnsi="Palatino Linotype" w:cs="Calibri"/>
                <w:color w:val="000000"/>
                <w:sz w:val="22"/>
                <w:szCs w:val="22"/>
              </w:rPr>
              <w:t>-767</w:t>
            </w:r>
          </w:p>
        </w:tc>
        <w:tc>
          <w:tcPr>
            <w:tcW w:w="985" w:type="dxa"/>
            <w:tcBorders>
              <w:top w:val="nil"/>
              <w:left w:val="nil"/>
              <w:bottom w:val="single" w:sz="4" w:space="0" w:color="auto"/>
              <w:right w:val="nil"/>
            </w:tcBorders>
            <w:vAlign w:val="bottom"/>
          </w:tcPr>
          <w:p w14:paraId="437A69F3" w14:textId="37C3B758" w:rsidR="00B360C0" w:rsidRPr="00B360C0" w:rsidRDefault="00B360C0" w:rsidP="00B360C0">
            <w:pPr>
              <w:jc w:val="right"/>
              <w:rPr>
                <w:rFonts w:ascii="Palatino Linotype" w:hAnsi="Palatino Linotype" w:cs="Arial"/>
                <w:color w:val="000000" w:themeColor="text1"/>
                <w:sz w:val="22"/>
                <w:szCs w:val="22"/>
              </w:rPr>
            </w:pPr>
            <w:r w:rsidRPr="00B360C0">
              <w:rPr>
                <w:rFonts w:ascii="Palatino Linotype" w:hAnsi="Palatino Linotype" w:cs="Calibri"/>
                <w:color w:val="000000"/>
                <w:sz w:val="22"/>
                <w:szCs w:val="22"/>
              </w:rPr>
              <w:t>-752</w:t>
            </w:r>
          </w:p>
        </w:tc>
        <w:tc>
          <w:tcPr>
            <w:tcW w:w="925" w:type="dxa"/>
            <w:tcBorders>
              <w:top w:val="nil"/>
              <w:left w:val="nil"/>
              <w:bottom w:val="single" w:sz="4" w:space="0" w:color="auto"/>
              <w:right w:val="nil"/>
            </w:tcBorders>
            <w:shd w:val="clear" w:color="auto" w:fill="auto"/>
            <w:noWrap/>
            <w:vAlign w:val="bottom"/>
          </w:tcPr>
          <w:p w14:paraId="4A3F5915" w14:textId="20834D76" w:rsidR="00B360C0" w:rsidRPr="00B360C0" w:rsidRDefault="00B360C0" w:rsidP="00B360C0">
            <w:pPr>
              <w:jc w:val="right"/>
              <w:rPr>
                <w:rFonts w:ascii="Palatino Linotype" w:hAnsi="Palatino Linotype" w:cs="Arial"/>
                <w:color w:val="000000" w:themeColor="text1"/>
                <w:sz w:val="22"/>
                <w:szCs w:val="22"/>
              </w:rPr>
            </w:pPr>
            <w:r w:rsidRPr="00B360C0">
              <w:rPr>
                <w:rFonts w:ascii="Palatino Linotype" w:hAnsi="Palatino Linotype" w:cs="Calibri"/>
                <w:color w:val="000000"/>
                <w:sz w:val="22"/>
                <w:szCs w:val="22"/>
              </w:rPr>
              <w:t>-737</w:t>
            </w:r>
          </w:p>
        </w:tc>
        <w:tc>
          <w:tcPr>
            <w:tcW w:w="925" w:type="dxa"/>
            <w:tcBorders>
              <w:top w:val="nil"/>
              <w:left w:val="nil"/>
              <w:bottom w:val="single" w:sz="4" w:space="0" w:color="auto"/>
              <w:right w:val="nil"/>
            </w:tcBorders>
            <w:shd w:val="clear" w:color="auto" w:fill="auto"/>
            <w:noWrap/>
            <w:vAlign w:val="bottom"/>
          </w:tcPr>
          <w:p w14:paraId="7B49513E" w14:textId="62694796" w:rsidR="00B360C0" w:rsidRPr="00B360C0" w:rsidRDefault="00B360C0" w:rsidP="00B360C0">
            <w:pPr>
              <w:jc w:val="right"/>
              <w:rPr>
                <w:rFonts w:ascii="Palatino Linotype" w:hAnsi="Palatino Linotype" w:cs="Arial"/>
                <w:color w:val="000000" w:themeColor="text1"/>
                <w:sz w:val="22"/>
                <w:szCs w:val="22"/>
              </w:rPr>
            </w:pPr>
            <w:r w:rsidRPr="00B360C0">
              <w:rPr>
                <w:rFonts w:ascii="Palatino Linotype" w:hAnsi="Palatino Linotype" w:cs="Calibri"/>
                <w:color w:val="000000"/>
                <w:sz w:val="22"/>
                <w:szCs w:val="22"/>
              </w:rPr>
              <w:t>-720</w:t>
            </w:r>
          </w:p>
        </w:tc>
        <w:tc>
          <w:tcPr>
            <w:tcW w:w="925" w:type="dxa"/>
            <w:tcBorders>
              <w:top w:val="nil"/>
              <w:left w:val="nil"/>
              <w:bottom w:val="single" w:sz="4" w:space="0" w:color="auto"/>
              <w:right w:val="nil"/>
            </w:tcBorders>
            <w:shd w:val="clear" w:color="auto" w:fill="auto"/>
            <w:noWrap/>
            <w:vAlign w:val="bottom"/>
          </w:tcPr>
          <w:p w14:paraId="46BEB6D4" w14:textId="2F2CB284" w:rsidR="00B360C0" w:rsidRPr="00B360C0" w:rsidRDefault="00B360C0" w:rsidP="00B360C0">
            <w:pPr>
              <w:jc w:val="right"/>
              <w:rPr>
                <w:rFonts w:ascii="Palatino Linotype" w:hAnsi="Palatino Linotype" w:cs="Arial"/>
                <w:color w:val="000000" w:themeColor="text1"/>
                <w:sz w:val="22"/>
                <w:szCs w:val="22"/>
              </w:rPr>
            </w:pPr>
            <w:r w:rsidRPr="00B360C0">
              <w:rPr>
                <w:rFonts w:ascii="Palatino Linotype" w:hAnsi="Palatino Linotype" w:cs="Calibri"/>
                <w:color w:val="000000"/>
                <w:sz w:val="22"/>
                <w:szCs w:val="22"/>
              </w:rPr>
              <w:t>-705</w:t>
            </w:r>
          </w:p>
        </w:tc>
      </w:tr>
    </w:tbl>
    <w:p w14:paraId="75757DDC" w14:textId="77777777" w:rsidR="00404797" w:rsidRPr="00C4420F" w:rsidRDefault="00404797" w:rsidP="007337D8">
      <w:pPr>
        <w:spacing w:line="360" w:lineRule="auto"/>
        <w:jc w:val="both"/>
        <w:rPr>
          <w:rFonts w:ascii="Palatino Linotype" w:hAnsi="Palatino Linotype"/>
          <w:noProof/>
        </w:rPr>
      </w:pPr>
    </w:p>
    <w:p w14:paraId="6A558256" w14:textId="77777777" w:rsidR="00DD3C45" w:rsidRDefault="00DD3C45" w:rsidP="00757C35">
      <w:pPr>
        <w:spacing w:line="360" w:lineRule="auto"/>
        <w:jc w:val="both"/>
        <w:rPr>
          <w:rFonts w:ascii="Palatino Linotype" w:hAnsi="Palatino Linotype"/>
          <w:noProof/>
        </w:rPr>
      </w:pPr>
      <w:r>
        <w:rPr>
          <w:rFonts w:ascii="Palatino Linotype" w:hAnsi="Palatino Linotype"/>
          <w:noProof/>
        </w:rPr>
        <w:t>By 2026</w:t>
      </w:r>
      <w:r w:rsidRPr="00677045">
        <w:rPr>
          <w:rFonts w:ascii="Palatino Linotype" w:hAnsi="Palatino Linotype"/>
          <w:noProof/>
        </w:rPr>
        <w:t>, a 2</w:t>
      </w:r>
      <w:r>
        <w:rPr>
          <w:rFonts w:ascii="Palatino Linotype" w:hAnsi="Palatino Linotype"/>
          <w:noProof/>
        </w:rPr>
        <w:t>2.5</w:t>
      </w:r>
      <w:r w:rsidRPr="00677045">
        <w:rPr>
          <w:rFonts w:ascii="Palatino Linotype" w:hAnsi="Palatino Linotype"/>
          <w:noProof/>
        </w:rPr>
        <w:t xml:space="preserve"> percent emissions cap would reduce investment by $</w:t>
      </w:r>
      <w:r>
        <w:rPr>
          <w:rFonts w:ascii="Palatino Linotype" w:hAnsi="Palatino Linotype"/>
          <w:noProof/>
        </w:rPr>
        <w:t>137</w:t>
      </w:r>
      <w:r w:rsidRPr="00677045">
        <w:rPr>
          <w:rFonts w:ascii="Palatino Linotype" w:hAnsi="Palatino Linotype"/>
          <w:noProof/>
        </w:rPr>
        <w:t xml:space="preserve"> million, disposable income by $1,</w:t>
      </w:r>
      <w:r>
        <w:rPr>
          <w:rFonts w:ascii="Palatino Linotype" w:hAnsi="Palatino Linotype"/>
          <w:noProof/>
        </w:rPr>
        <w:t>866</w:t>
      </w:r>
      <w:r w:rsidRPr="00677045">
        <w:rPr>
          <w:rFonts w:ascii="Palatino Linotype" w:hAnsi="Palatino Linotype"/>
          <w:noProof/>
        </w:rPr>
        <w:t xml:space="preserve"> million, and private employment by </w:t>
      </w:r>
      <w:r>
        <w:rPr>
          <w:rFonts w:ascii="Palatino Linotype" w:hAnsi="Palatino Linotype"/>
          <w:noProof/>
        </w:rPr>
        <w:t>8,370 jobs</w:t>
      </w:r>
      <w:r w:rsidRPr="00677045">
        <w:rPr>
          <w:rFonts w:ascii="Palatino Linotype" w:hAnsi="Palatino Linotype"/>
          <w:noProof/>
        </w:rPr>
        <w:t xml:space="preserve">. </w:t>
      </w:r>
      <w:r>
        <w:rPr>
          <w:rFonts w:ascii="Palatino Linotype" w:hAnsi="Palatino Linotype"/>
          <w:noProof/>
        </w:rPr>
        <w:t xml:space="preserve">The average Virginia household would incur a cost of $597. </w:t>
      </w:r>
      <w:r w:rsidRPr="00677045">
        <w:rPr>
          <w:rFonts w:ascii="Palatino Linotype" w:hAnsi="Palatino Linotype"/>
          <w:noProof/>
        </w:rPr>
        <w:t>The net cost</w:t>
      </w:r>
      <w:r>
        <w:rPr>
          <w:rFonts w:ascii="Palatino Linotype" w:hAnsi="Palatino Linotype"/>
          <w:noProof/>
        </w:rPr>
        <w:t xml:space="preserve"> </w:t>
      </w:r>
      <w:r w:rsidRPr="00677045">
        <w:rPr>
          <w:rFonts w:ascii="Palatino Linotype" w:hAnsi="Palatino Linotype"/>
          <w:noProof/>
        </w:rPr>
        <w:t xml:space="preserve">imposed on the economy </w:t>
      </w:r>
      <w:r>
        <w:rPr>
          <w:rFonts w:ascii="Palatino Linotype" w:hAnsi="Palatino Linotype"/>
          <w:noProof/>
        </w:rPr>
        <w:t>from</w:t>
      </w:r>
      <w:r w:rsidRPr="00677045">
        <w:rPr>
          <w:rFonts w:ascii="Palatino Linotype" w:hAnsi="Palatino Linotype"/>
          <w:noProof/>
        </w:rPr>
        <w:t xml:space="preserve"> the emissions cap would be $</w:t>
      </w:r>
      <w:r>
        <w:rPr>
          <w:rFonts w:ascii="Palatino Linotype" w:hAnsi="Palatino Linotype"/>
          <w:noProof/>
        </w:rPr>
        <w:t>705</w:t>
      </w:r>
      <w:r w:rsidRPr="00677045">
        <w:rPr>
          <w:rFonts w:ascii="Palatino Linotype" w:hAnsi="Palatino Linotype"/>
          <w:noProof/>
        </w:rPr>
        <w:t xml:space="preserve"> million. </w:t>
      </w:r>
      <w:r>
        <w:rPr>
          <w:rFonts w:ascii="Palatino Linotype" w:hAnsi="Palatino Linotype"/>
          <w:noProof/>
        </w:rPr>
        <w:t>T</w:t>
      </w:r>
      <w:r w:rsidRPr="00677045">
        <w:rPr>
          <w:rFonts w:ascii="Palatino Linotype" w:hAnsi="Palatino Linotype"/>
          <w:noProof/>
        </w:rPr>
        <w:t xml:space="preserve">he adverse economic effects of the emissions cap would reduce </w:t>
      </w:r>
      <w:r>
        <w:rPr>
          <w:rFonts w:ascii="Palatino Linotype" w:hAnsi="Palatino Linotype"/>
          <w:noProof/>
        </w:rPr>
        <w:t>state</w:t>
      </w:r>
      <w:r w:rsidRPr="00677045">
        <w:rPr>
          <w:rFonts w:ascii="Palatino Linotype" w:hAnsi="Palatino Linotype"/>
          <w:noProof/>
        </w:rPr>
        <w:t xml:space="preserve"> tax revenues</w:t>
      </w:r>
      <w:r>
        <w:rPr>
          <w:rFonts w:ascii="Palatino Linotype" w:hAnsi="Palatino Linotype"/>
          <w:noProof/>
        </w:rPr>
        <w:t xml:space="preserve"> by $31 million.</w:t>
      </w:r>
    </w:p>
    <w:p w14:paraId="20647B1A" w14:textId="76D887C3" w:rsidR="00E044FB" w:rsidRPr="002B4810" w:rsidRDefault="00E044FB" w:rsidP="00757C35">
      <w:pPr>
        <w:spacing w:line="360" w:lineRule="auto"/>
        <w:ind w:firstLine="720"/>
        <w:jc w:val="both"/>
        <w:rPr>
          <w:rFonts w:ascii="Palatino Linotype" w:hAnsi="Palatino Linotype"/>
        </w:rPr>
      </w:pPr>
      <w:r w:rsidRPr="002B4810">
        <w:rPr>
          <w:rFonts w:ascii="Palatino Linotype" w:hAnsi="Palatino Linotype"/>
          <w:noProof/>
        </w:rPr>
        <w:t xml:space="preserve">Table </w:t>
      </w:r>
      <w:r w:rsidR="004702F8">
        <w:rPr>
          <w:rFonts w:ascii="Palatino Linotype" w:hAnsi="Palatino Linotype"/>
          <w:noProof/>
        </w:rPr>
        <w:t>6</w:t>
      </w:r>
      <w:r w:rsidRPr="002B4810">
        <w:rPr>
          <w:rFonts w:ascii="Palatino Linotype" w:hAnsi="Palatino Linotype"/>
          <w:noProof/>
        </w:rPr>
        <w:t xml:space="preserve"> shows that a 25 percent emissions cap would reduce investment by $</w:t>
      </w:r>
      <w:r w:rsidR="004702F8">
        <w:rPr>
          <w:rFonts w:ascii="Palatino Linotype" w:hAnsi="Palatino Linotype"/>
          <w:noProof/>
        </w:rPr>
        <w:t>1</w:t>
      </w:r>
      <w:r w:rsidR="00604522">
        <w:rPr>
          <w:rFonts w:ascii="Palatino Linotype" w:hAnsi="Palatino Linotype"/>
          <w:noProof/>
        </w:rPr>
        <w:t xml:space="preserve">65 </w:t>
      </w:r>
      <w:r w:rsidRPr="002B4810">
        <w:rPr>
          <w:rFonts w:ascii="Palatino Linotype" w:hAnsi="Palatino Linotype"/>
          <w:noProof/>
        </w:rPr>
        <w:t>million, disposable income by $</w:t>
      </w:r>
      <w:r w:rsidR="004702F8">
        <w:rPr>
          <w:rFonts w:ascii="Palatino Linotype" w:hAnsi="Palatino Linotype"/>
          <w:noProof/>
        </w:rPr>
        <w:t>2,</w:t>
      </w:r>
      <w:r w:rsidR="00604522">
        <w:rPr>
          <w:rFonts w:ascii="Palatino Linotype" w:hAnsi="Palatino Linotype"/>
          <w:noProof/>
        </w:rPr>
        <w:t>307</w:t>
      </w:r>
      <w:r w:rsidRPr="002B4810">
        <w:rPr>
          <w:rFonts w:ascii="Palatino Linotype" w:hAnsi="Palatino Linotype"/>
          <w:noProof/>
        </w:rPr>
        <w:t xml:space="preserve"> million, and private employment by </w:t>
      </w:r>
      <w:r w:rsidR="00604522">
        <w:rPr>
          <w:rFonts w:ascii="Palatino Linotype" w:hAnsi="Palatino Linotype"/>
          <w:noProof/>
        </w:rPr>
        <w:t>12,884</w:t>
      </w:r>
      <w:r w:rsidRPr="002B4810">
        <w:rPr>
          <w:rFonts w:ascii="Palatino Linotype" w:hAnsi="Palatino Linotype"/>
          <w:noProof/>
        </w:rPr>
        <w:t xml:space="preserve"> jobs in 2022.</w:t>
      </w:r>
      <w:r w:rsidR="004E1810">
        <w:rPr>
          <w:rFonts w:ascii="Palatino Linotype" w:hAnsi="Palatino Linotype"/>
          <w:noProof/>
        </w:rPr>
        <w:t xml:space="preserve"> The cost per average </w:t>
      </w:r>
      <w:r w:rsidR="00AF38EC">
        <w:rPr>
          <w:rFonts w:ascii="Palatino Linotype" w:hAnsi="Palatino Linotype"/>
          <w:noProof/>
        </w:rPr>
        <w:t>Virginia</w:t>
      </w:r>
      <w:r w:rsidR="00063782">
        <w:rPr>
          <w:rFonts w:ascii="Palatino Linotype" w:hAnsi="Palatino Linotype"/>
          <w:noProof/>
        </w:rPr>
        <w:t xml:space="preserve"> </w:t>
      </w:r>
      <w:r w:rsidR="004E1810">
        <w:rPr>
          <w:rFonts w:ascii="Palatino Linotype" w:hAnsi="Palatino Linotype"/>
          <w:noProof/>
        </w:rPr>
        <w:t>household would be $</w:t>
      </w:r>
      <w:r w:rsidR="00604522">
        <w:rPr>
          <w:rFonts w:ascii="Palatino Linotype" w:hAnsi="Palatino Linotype"/>
          <w:noProof/>
        </w:rPr>
        <w:t>737</w:t>
      </w:r>
      <w:r w:rsidR="004E1810">
        <w:rPr>
          <w:rFonts w:ascii="Palatino Linotype" w:hAnsi="Palatino Linotype"/>
          <w:noProof/>
        </w:rPr>
        <w:t>.</w:t>
      </w:r>
      <w:r w:rsidRPr="002B4810">
        <w:rPr>
          <w:rFonts w:ascii="Palatino Linotype" w:hAnsi="Palatino Linotype"/>
          <w:noProof/>
        </w:rPr>
        <w:t xml:space="preserve"> The net cost of the emissions cap would be $</w:t>
      </w:r>
      <w:r w:rsidR="00604522">
        <w:rPr>
          <w:rFonts w:ascii="Palatino Linotype" w:hAnsi="Palatino Linotype"/>
          <w:noProof/>
        </w:rPr>
        <w:t>1,0</w:t>
      </w:r>
      <w:r w:rsidR="00757C35">
        <w:rPr>
          <w:rFonts w:ascii="Palatino Linotype" w:hAnsi="Palatino Linotype"/>
          <w:noProof/>
        </w:rPr>
        <w:t>51</w:t>
      </w:r>
      <w:r w:rsidRPr="002B4810">
        <w:rPr>
          <w:rFonts w:ascii="Palatino Linotype" w:hAnsi="Palatino Linotype"/>
          <w:noProof/>
        </w:rPr>
        <w:t xml:space="preserve"> million. </w:t>
      </w:r>
      <w:r w:rsidR="004E1810">
        <w:rPr>
          <w:rFonts w:ascii="Palatino Linotype" w:hAnsi="Palatino Linotype"/>
          <w:noProof/>
        </w:rPr>
        <w:t>T</w:t>
      </w:r>
      <w:r w:rsidR="006E487B" w:rsidRPr="002B4810">
        <w:rPr>
          <w:rFonts w:ascii="Palatino Linotype" w:hAnsi="Palatino Linotype"/>
          <w:noProof/>
        </w:rPr>
        <w:t xml:space="preserve">he adverse economic effects of the emissions cap would reduce </w:t>
      </w:r>
      <w:r w:rsidR="004702F8">
        <w:rPr>
          <w:rFonts w:ascii="Palatino Linotype" w:hAnsi="Palatino Linotype"/>
          <w:noProof/>
        </w:rPr>
        <w:t>state</w:t>
      </w:r>
      <w:r w:rsidR="006E487B" w:rsidRPr="002B4810">
        <w:rPr>
          <w:rFonts w:ascii="Palatino Linotype" w:hAnsi="Palatino Linotype"/>
          <w:noProof/>
        </w:rPr>
        <w:t xml:space="preserve"> tax revenues</w:t>
      </w:r>
      <w:r w:rsidR="004702F8">
        <w:rPr>
          <w:rFonts w:ascii="Palatino Linotype" w:hAnsi="Palatino Linotype"/>
          <w:noProof/>
        </w:rPr>
        <w:t xml:space="preserve"> by $4</w:t>
      </w:r>
      <w:r w:rsidR="00604522">
        <w:rPr>
          <w:rFonts w:ascii="Palatino Linotype" w:hAnsi="Palatino Linotype"/>
          <w:noProof/>
        </w:rPr>
        <w:t>8</w:t>
      </w:r>
      <w:r w:rsidR="004702F8">
        <w:rPr>
          <w:rFonts w:ascii="Palatino Linotype" w:hAnsi="Palatino Linotype"/>
          <w:noProof/>
        </w:rPr>
        <w:t xml:space="preserve"> million.</w:t>
      </w:r>
    </w:p>
    <w:p w14:paraId="23A4319A" w14:textId="5606DC4C" w:rsidR="00EA6BCE" w:rsidRDefault="002B4810" w:rsidP="00757C35">
      <w:pPr>
        <w:spacing w:line="360" w:lineRule="auto"/>
        <w:jc w:val="both"/>
        <w:rPr>
          <w:rFonts w:ascii="Palatino Linotype" w:hAnsi="Palatino Linotype"/>
          <w:noProof/>
        </w:rPr>
      </w:pPr>
      <w:r>
        <w:rPr>
          <w:rFonts w:ascii="Palatino Linotype" w:hAnsi="Palatino Linotype"/>
          <w:noProof/>
        </w:rPr>
        <w:tab/>
      </w:r>
      <w:r w:rsidR="00834419" w:rsidRPr="002B4810">
        <w:rPr>
          <w:rFonts w:ascii="Palatino Linotype" w:hAnsi="Palatino Linotype"/>
          <w:noProof/>
        </w:rPr>
        <w:t>As time passes, a</w:t>
      </w:r>
      <w:r w:rsidR="00E044FB" w:rsidRPr="002B4810">
        <w:rPr>
          <w:rFonts w:ascii="Palatino Linotype" w:hAnsi="Palatino Linotype"/>
          <w:noProof/>
        </w:rPr>
        <w:t xml:space="preserve"> 25 percent emissions cap would reduce investment by $</w:t>
      </w:r>
      <w:r w:rsidR="00A01CFF">
        <w:rPr>
          <w:rFonts w:ascii="Palatino Linotype" w:hAnsi="Palatino Linotype"/>
          <w:noProof/>
        </w:rPr>
        <w:t>1</w:t>
      </w:r>
      <w:r w:rsidR="00604522">
        <w:rPr>
          <w:rFonts w:ascii="Palatino Linotype" w:hAnsi="Palatino Linotype"/>
          <w:noProof/>
        </w:rPr>
        <w:t>87</w:t>
      </w:r>
      <w:r w:rsidR="00E044FB" w:rsidRPr="002B4810">
        <w:rPr>
          <w:rFonts w:ascii="Palatino Linotype" w:hAnsi="Palatino Linotype"/>
          <w:noProof/>
        </w:rPr>
        <w:t xml:space="preserve"> million, disposable income by $</w:t>
      </w:r>
      <w:r w:rsidR="004E1810">
        <w:rPr>
          <w:rFonts w:ascii="Palatino Linotype" w:hAnsi="Palatino Linotype"/>
          <w:noProof/>
        </w:rPr>
        <w:t>2,</w:t>
      </w:r>
      <w:r w:rsidR="00604522">
        <w:rPr>
          <w:rFonts w:ascii="Palatino Linotype" w:hAnsi="Palatino Linotype"/>
          <w:noProof/>
        </w:rPr>
        <w:t>449</w:t>
      </w:r>
      <w:r w:rsidR="00E044FB" w:rsidRPr="002B4810">
        <w:rPr>
          <w:rFonts w:ascii="Palatino Linotype" w:hAnsi="Palatino Linotype"/>
          <w:noProof/>
        </w:rPr>
        <w:t xml:space="preserve"> million, and private employment by </w:t>
      </w:r>
      <w:r w:rsidR="00A01CFF">
        <w:rPr>
          <w:rFonts w:ascii="Palatino Linotype" w:hAnsi="Palatino Linotype"/>
          <w:noProof/>
        </w:rPr>
        <w:t>1</w:t>
      </w:r>
      <w:r w:rsidR="00604522">
        <w:rPr>
          <w:rFonts w:ascii="Palatino Linotype" w:hAnsi="Palatino Linotype"/>
          <w:noProof/>
        </w:rPr>
        <w:t>1,424</w:t>
      </w:r>
      <w:r w:rsidR="00E044FB" w:rsidRPr="002B4810">
        <w:rPr>
          <w:rFonts w:ascii="Palatino Linotype" w:hAnsi="Palatino Linotype"/>
          <w:noProof/>
        </w:rPr>
        <w:t xml:space="preserve"> jobs in 2026. </w:t>
      </w:r>
      <w:r w:rsidR="00B409C0">
        <w:rPr>
          <w:rFonts w:ascii="Palatino Linotype" w:hAnsi="Palatino Linotype"/>
          <w:noProof/>
        </w:rPr>
        <w:t xml:space="preserve">The total cost per average </w:t>
      </w:r>
      <w:r w:rsidR="00AF38EC">
        <w:rPr>
          <w:rFonts w:ascii="Palatino Linotype" w:hAnsi="Palatino Linotype"/>
          <w:noProof/>
        </w:rPr>
        <w:t>Virginia</w:t>
      </w:r>
      <w:r w:rsidR="00063782">
        <w:rPr>
          <w:rFonts w:ascii="Palatino Linotype" w:hAnsi="Palatino Linotype"/>
          <w:noProof/>
        </w:rPr>
        <w:t xml:space="preserve"> </w:t>
      </w:r>
      <w:r w:rsidR="00B409C0">
        <w:rPr>
          <w:rFonts w:ascii="Palatino Linotype" w:hAnsi="Palatino Linotype"/>
          <w:noProof/>
        </w:rPr>
        <w:t>household would be $</w:t>
      </w:r>
      <w:r w:rsidR="00604522">
        <w:rPr>
          <w:rFonts w:ascii="Palatino Linotype" w:hAnsi="Palatino Linotype"/>
          <w:noProof/>
        </w:rPr>
        <w:t>782</w:t>
      </w:r>
      <w:r w:rsidR="00B409C0">
        <w:rPr>
          <w:rFonts w:ascii="Palatino Linotype" w:hAnsi="Palatino Linotype"/>
          <w:noProof/>
        </w:rPr>
        <w:t xml:space="preserve">. </w:t>
      </w:r>
      <w:r w:rsidR="00E044FB" w:rsidRPr="002B4810">
        <w:rPr>
          <w:rFonts w:ascii="Palatino Linotype" w:hAnsi="Palatino Linotype"/>
          <w:noProof/>
        </w:rPr>
        <w:t>The net cost imposed on the economy would be $</w:t>
      </w:r>
      <w:r w:rsidR="00604522">
        <w:rPr>
          <w:rFonts w:ascii="Palatino Linotype" w:hAnsi="Palatino Linotype"/>
          <w:noProof/>
        </w:rPr>
        <w:t>9</w:t>
      </w:r>
      <w:r w:rsidR="00757C35">
        <w:rPr>
          <w:rFonts w:ascii="Palatino Linotype" w:hAnsi="Palatino Linotype"/>
          <w:noProof/>
        </w:rPr>
        <w:t>83</w:t>
      </w:r>
      <w:r w:rsidR="00E044FB" w:rsidRPr="002B4810">
        <w:rPr>
          <w:rFonts w:ascii="Palatino Linotype" w:hAnsi="Palatino Linotype"/>
          <w:noProof/>
        </w:rPr>
        <w:t xml:space="preserve"> million. </w:t>
      </w:r>
      <w:r w:rsidR="004E1810">
        <w:rPr>
          <w:rFonts w:ascii="Palatino Linotype" w:hAnsi="Palatino Linotype"/>
          <w:noProof/>
        </w:rPr>
        <w:t>T</w:t>
      </w:r>
      <w:r w:rsidR="006E487B" w:rsidRPr="002B4810">
        <w:rPr>
          <w:rFonts w:ascii="Palatino Linotype" w:hAnsi="Palatino Linotype"/>
          <w:noProof/>
        </w:rPr>
        <w:t xml:space="preserve">he adverse economic effects of the emissions cap would reduce </w:t>
      </w:r>
      <w:r w:rsidR="00A01CFF">
        <w:rPr>
          <w:rFonts w:ascii="Palatino Linotype" w:hAnsi="Palatino Linotype"/>
          <w:noProof/>
        </w:rPr>
        <w:t>state tax revenues by $</w:t>
      </w:r>
      <w:r w:rsidR="00604522">
        <w:rPr>
          <w:rFonts w:ascii="Palatino Linotype" w:hAnsi="Palatino Linotype"/>
          <w:noProof/>
        </w:rPr>
        <w:t>43</w:t>
      </w:r>
      <w:r w:rsidR="00A01CFF">
        <w:rPr>
          <w:rFonts w:ascii="Palatino Linotype" w:hAnsi="Palatino Linotype"/>
          <w:noProof/>
        </w:rPr>
        <w:t xml:space="preserve"> million.</w:t>
      </w:r>
    </w:p>
    <w:p w14:paraId="748CF8AD" w14:textId="43448D4D" w:rsidR="003E1699" w:rsidRPr="00A422C0" w:rsidRDefault="003E1699" w:rsidP="003E1699">
      <w:pPr>
        <w:pStyle w:val="Caption"/>
        <w:jc w:val="center"/>
        <w:rPr>
          <w:rFonts w:ascii="Palatino Linotype" w:hAnsi="Palatino Linotype"/>
          <w:color w:val="000000" w:themeColor="text1"/>
          <w:sz w:val="24"/>
          <w:szCs w:val="24"/>
        </w:rPr>
      </w:pPr>
      <w:bookmarkStart w:id="20" w:name="_Toc55394596"/>
      <w:r w:rsidRPr="00A422C0">
        <w:rPr>
          <w:rFonts w:ascii="Palatino Linotype" w:hAnsi="Palatino Linotype"/>
          <w:color w:val="000000" w:themeColor="text1"/>
          <w:sz w:val="24"/>
          <w:szCs w:val="24"/>
        </w:rPr>
        <w:lastRenderedPageBreak/>
        <w:t xml:space="preserve">Table </w:t>
      </w:r>
      <w:r>
        <w:rPr>
          <w:rFonts w:ascii="Palatino Linotype" w:hAnsi="Palatino Linotype"/>
          <w:color w:val="000000" w:themeColor="text1"/>
          <w:sz w:val="24"/>
          <w:szCs w:val="24"/>
        </w:rPr>
        <w:t>6</w:t>
      </w:r>
      <w:r w:rsidRPr="00A422C0">
        <w:rPr>
          <w:rFonts w:ascii="Palatino Linotype" w:hAnsi="Palatino Linotype" w:cs="Palatino Linotype"/>
          <w:bCs w:val="0"/>
          <w:color w:val="000000" w:themeColor="text1"/>
          <w:sz w:val="24"/>
          <w:szCs w:val="24"/>
        </w:rPr>
        <w:t>:  The Costs and Benefits of a 25% Emissions Cap on Virginia</w:t>
      </w:r>
      <w:bookmarkEnd w:id="20"/>
    </w:p>
    <w:tbl>
      <w:tblPr>
        <w:tblW w:w="9595" w:type="dxa"/>
        <w:tblLook w:val="04A0" w:firstRow="1" w:lastRow="0" w:firstColumn="1" w:lastColumn="0" w:noHBand="0" w:noVBand="1"/>
      </w:tblPr>
      <w:tblGrid>
        <w:gridCol w:w="4911"/>
        <w:gridCol w:w="924"/>
        <w:gridCol w:w="985"/>
        <w:gridCol w:w="925"/>
        <w:gridCol w:w="925"/>
        <w:gridCol w:w="925"/>
      </w:tblGrid>
      <w:tr w:rsidR="003E1699" w:rsidRPr="00A422C0" w14:paraId="4E4EE6AD" w14:textId="77777777" w:rsidTr="00353A4C">
        <w:trPr>
          <w:trHeight w:val="264"/>
        </w:trPr>
        <w:tc>
          <w:tcPr>
            <w:tcW w:w="4911" w:type="dxa"/>
            <w:tcBorders>
              <w:top w:val="single" w:sz="4" w:space="0" w:color="auto"/>
              <w:left w:val="nil"/>
              <w:bottom w:val="single" w:sz="4" w:space="0" w:color="auto"/>
              <w:right w:val="nil"/>
            </w:tcBorders>
            <w:shd w:val="clear" w:color="auto" w:fill="auto"/>
            <w:noWrap/>
            <w:vAlign w:val="bottom"/>
            <w:hideMark/>
          </w:tcPr>
          <w:p w14:paraId="5F2D0A12" w14:textId="77777777" w:rsidR="003E1699" w:rsidRPr="00A422C0" w:rsidRDefault="003E1699" w:rsidP="00353A4C">
            <w:pPr>
              <w:rPr>
                <w:rFonts w:ascii="Palatino Linotype" w:hAnsi="Palatino Linotype"/>
                <w:color w:val="000000" w:themeColor="text1"/>
                <w:sz w:val="22"/>
                <w:szCs w:val="22"/>
              </w:rPr>
            </w:pPr>
            <w:r w:rsidRPr="00A422C0">
              <w:rPr>
                <w:rFonts w:ascii="Palatino Linotype" w:hAnsi="Palatino Linotype"/>
                <w:color w:val="000000" w:themeColor="text1"/>
                <w:sz w:val="22"/>
                <w:szCs w:val="22"/>
              </w:rPr>
              <w:t>Variable</w:t>
            </w:r>
          </w:p>
        </w:tc>
        <w:tc>
          <w:tcPr>
            <w:tcW w:w="924" w:type="dxa"/>
            <w:tcBorders>
              <w:top w:val="single" w:sz="4" w:space="0" w:color="auto"/>
              <w:left w:val="nil"/>
              <w:bottom w:val="single" w:sz="4" w:space="0" w:color="auto"/>
              <w:right w:val="nil"/>
            </w:tcBorders>
            <w:shd w:val="clear" w:color="auto" w:fill="auto"/>
            <w:noWrap/>
            <w:vAlign w:val="bottom"/>
            <w:hideMark/>
          </w:tcPr>
          <w:p w14:paraId="5DE82CE1" w14:textId="77777777" w:rsidR="003E1699" w:rsidRPr="00A422C0" w:rsidRDefault="003E1699" w:rsidP="00353A4C">
            <w:pPr>
              <w:jc w:val="right"/>
              <w:rPr>
                <w:rFonts w:ascii="Palatino Linotype" w:hAnsi="Palatino Linotype" w:cs="Arial"/>
                <w:color w:val="000000" w:themeColor="text1"/>
                <w:sz w:val="22"/>
                <w:szCs w:val="22"/>
              </w:rPr>
            </w:pPr>
            <w:r w:rsidRPr="00A422C0">
              <w:rPr>
                <w:rFonts w:ascii="Palatino Linotype" w:hAnsi="Palatino Linotype" w:cs="Arial"/>
                <w:color w:val="000000" w:themeColor="text1"/>
                <w:sz w:val="22"/>
                <w:szCs w:val="22"/>
              </w:rPr>
              <w:t>2022</w:t>
            </w:r>
          </w:p>
        </w:tc>
        <w:tc>
          <w:tcPr>
            <w:tcW w:w="985" w:type="dxa"/>
            <w:tcBorders>
              <w:top w:val="single" w:sz="4" w:space="0" w:color="auto"/>
              <w:left w:val="nil"/>
              <w:bottom w:val="single" w:sz="4" w:space="0" w:color="auto"/>
              <w:right w:val="nil"/>
            </w:tcBorders>
          </w:tcPr>
          <w:p w14:paraId="2F0E937F" w14:textId="77777777" w:rsidR="003E1699" w:rsidRPr="00A422C0" w:rsidRDefault="003E1699" w:rsidP="00353A4C">
            <w:pPr>
              <w:ind w:left="-120"/>
              <w:jc w:val="right"/>
              <w:rPr>
                <w:rFonts w:ascii="Palatino Linotype" w:hAnsi="Palatino Linotype" w:cs="Arial"/>
                <w:color w:val="000000" w:themeColor="text1"/>
                <w:sz w:val="22"/>
                <w:szCs w:val="22"/>
              </w:rPr>
            </w:pPr>
            <w:r w:rsidRPr="00A422C0">
              <w:rPr>
                <w:rFonts w:ascii="Palatino Linotype" w:hAnsi="Palatino Linotype" w:cs="Arial"/>
                <w:color w:val="000000" w:themeColor="text1"/>
                <w:sz w:val="22"/>
                <w:szCs w:val="22"/>
              </w:rPr>
              <w:t>2023</w:t>
            </w:r>
          </w:p>
        </w:tc>
        <w:tc>
          <w:tcPr>
            <w:tcW w:w="925" w:type="dxa"/>
            <w:tcBorders>
              <w:top w:val="single" w:sz="4" w:space="0" w:color="auto"/>
              <w:left w:val="nil"/>
              <w:bottom w:val="single" w:sz="4" w:space="0" w:color="auto"/>
              <w:right w:val="nil"/>
            </w:tcBorders>
            <w:shd w:val="clear" w:color="auto" w:fill="auto"/>
            <w:noWrap/>
            <w:vAlign w:val="bottom"/>
            <w:hideMark/>
          </w:tcPr>
          <w:p w14:paraId="5D3D4E38" w14:textId="77777777" w:rsidR="003E1699" w:rsidRPr="00A422C0" w:rsidRDefault="003E1699" w:rsidP="00353A4C">
            <w:pPr>
              <w:jc w:val="right"/>
              <w:rPr>
                <w:rFonts w:ascii="Palatino Linotype" w:hAnsi="Palatino Linotype" w:cs="Arial"/>
                <w:color w:val="000000" w:themeColor="text1"/>
                <w:sz w:val="22"/>
                <w:szCs w:val="22"/>
              </w:rPr>
            </w:pPr>
            <w:r w:rsidRPr="00A422C0">
              <w:rPr>
                <w:rFonts w:ascii="Palatino Linotype" w:hAnsi="Palatino Linotype" w:cs="Arial"/>
                <w:color w:val="000000" w:themeColor="text1"/>
                <w:sz w:val="22"/>
                <w:szCs w:val="22"/>
              </w:rPr>
              <w:t>2024</w:t>
            </w:r>
          </w:p>
        </w:tc>
        <w:tc>
          <w:tcPr>
            <w:tcW w:w="925" w:type="dxa"/>
            <w:tcBorders>
              <w:top w:val="single" w:sz="4" w:space="0" w:color="auto"/>
              <w:left w:val="nil"/>
              <w:bottom w:val="single" w:sz="4" w:space="0" w:color="auto"/>
              <w:right w:val="nil"/>
            </w:tcBorders>
            <w:shd w:val="clear" w:color="auto" w:fill="auto"/>
            <w:noWrap/>
            <w:vAlign w:val="bottom"/>
            <w:hideMark/>
          </w:tcPr>
          <w:p w14:paraId="13EEA771" w14:textId="77777777" w:rsidR="003E1699" w:rsidRPr="00A422C0" w:rsidRDefault="003E1699" w:rsidP="00353A4C">
            <w:pPr>
              <w:jc w:val="right"/>
              <w:rPr>
                <w:rFonts w:ascii="Palatino Linotype" w:hAnsi="Palatino Linotype" w:cs="Arial"/>
                <w:color w:val="000000" w:themeColor="text1"/>
                <w:sz w:val="22"/>
                <w:szCs w:val="22"/>
              </w:rPr>
            </w:pPr>
            <w:r w:rsidRPr="00A422C0">
              <w:rPr>
                <w:rFonts w:ascii="Palatino Linotype" w:hAnsi="Palatino Linotype" w:cs="Arial"/>
                <w:color w:val="000000" w:themeColor="text1"/>
                <w:sz w:val="22"/>
                <w:szCs w:val="22"/>
              </w:rPr>
              <w:t>2025</w:t>
            </w:r>
          </w:p>
        </w:tc>
        <w:tc>
          <w:tcPr>
            <w:tcW w:w="925" w:type="dxa"/>
            <w:tcBorders>
              <w:top w:val="single" w:sz="4" w:space="0" w:color="auto"/>
              <w:left w:val="nil"/>
              <w:bottom w:val="single" w:sz="4" w:space="0" w:color="auto"/>
              <w:right w:val="nil"/>
            </w:tcBorders>
            <w:shd w:val="clear" w:color="auto" w:fill="auto"/>
            <w:noWrap/>
            <w:vAlign w:val="bottom"/>
            <w:hideMark/>
          </w:tcPr>
          <w:p w14:paraId="459A5F82" w14:textId="77777777" w:rsidR="003E1699" w:rsidRPr="00A422C0" w:rsidRDefault="003E1699" w:rsidP="00353A4C">
            <w:pPr>
              <w:jc w:val="right"/>
              <w:rPr>
                <w:rFonts w:ascii="Palatino Linotype" w:hAnsi="Palatino Linotype" w:cs="Arial"/>
                <w:color w:val="000000" w:themeColor="text1"/>
                <w:sz w:val="22"/>
                <w:szCs w:val="22"/>
              </w:rPr>
            </w:pPr>
            <w:r w:rsidRPr="00A422C0">
              <w:rPr>
                <w:rFonts w:ascii="Palatino Linotype" w:hAnsi="Palatino Linotype" w:cs="Arial"/>
                <w:color w:val="000000" w:themeColor="text1"/>
                <w:sz w:val="22"/>
                <w:szCs w:val="22"/>
              </w:rPr>
              <w:t>2026</w:t>
            </w:r>
          </w:p>
        </w:tc>
      </w:tr>
      <w:tr w:rsidR="00F6572F" w:rsidRPr="00A422C0" w14:paraId="0988BDAE" w14:textId="77777777" w:rsidTr="00D520F1">
        <w:trPr>
          <w:trHeight w:val="264"/>
        </w:trPr>
        <w:tc>
          <w:tcPr>
            <w:tcW w:w="4911" w:type="dxa"/>
            <w:tcBorders>
              <w:top w:val="nil"/>
              <w:left w:val="nil"/>
              <w:right w:val="nil"/>
            </w:tcBorders>
            <w:shd w:val="clear" w:color="auto" w:fill="auto"/>
            <w:noWrap/>
            <w:vAlign w:val="bottom"/>
          </w:tcPr>
          <w:p w14:paraId="43F45CA1" w14:textId="77777777" w:rsidR="00F6572F" w:rsidRPr="00A422C0" w:rsidRDefault="00F6572F" w:rsidP="00F6572F">
            <w:pPr>
              <w:rPr>
                <w:rFonts w:ascii="Palatino Linotype" w:hAnsi="Palatino Linotype" w:cs="Arial"/>
                <w:color w:val="000000" w:themeColor="text1"/>
                <w:sz w:val="22"/>
                <w:szCs w:val="22"/>
              </w:rPr>
            </w:pPr>
            <w:bookmarkStart w:id="21" w:name="_Hlk31473498"/>
            <w:r w:rsidRPr="00A422C0">
              <w:rPr>
                <w:rFonts w:ascii="Palatino Linotype" w:hAnsi="Palatino Linotype" w:cs="Arial"/>
                <w:color w:val="000000" w:themeColor="text1"/>
                <w:sz w:val="22"/>
                <w:szCs w:val="22"/>
              </w:rPr>
              <w:t>Revenue changes other state taxes ($, mil.)</w:t>
            </w:r>
          </w:p>
        </w:tc>
        <w:tc>
          <w:tcPr>
            <w:tcW w:w="924" w:type="dxa"/>
            <w:tcBorders>
              <w:top w:val="nil"/>
              <w:left w:val="nil"/>
              <w:right w:val="nil"/>
            </w:tcBorders>
            <w:shd w:val="clear" w:color="auto" w:fill="auto"/>
            <w:noWrap/>
            <w:vAlign w:val="bottom"/>
          </w:tcPr>
          <w:p w14:paraId="109267E7" w14:textId="65B52742" w:rsidR="00F6572F" w:rsidRPr="00F6572F" w:rsidRDefault="00F6572F" w:rsidP="00F6572F">
            <w:pPr>
              <w:jc w:val="right"/>
              <w:rPr>
                <w:rFonts w:ascii="Palatino Linotype" w:hAnsi="Palatino Linotype" w:cs="Arial"/>
                <w:color w:val="000000" w:themeColor="text1"/>
                <w:sz w:val="22"/>
                <w:szCs w:val="22"/>
              </w:rPr>
            </w:pPr>
            <w:r w:rsidRPr="00F6572F">
              <w:rPr>
                <w:rFonts w:ascii="Palatino Linotype" w:hAnsi="Palatino Linotype" w:cs="Calibri"/>
                <w:color w:val="000000"/>
                <w:sz w:val="22"/>
                <w:szCs w:val="22"/>
              </w:rPr>
              <w:t>-48</w:t>
            </w:r>
          </w:p>
        </w:tc>
        <w:tc>
          <w:tcPr>
            <w:tcW w:w="985" w:type="dxa"/>
            <w:tcBorders>
              <w:top w:val="nil"/>
              <w:left w:val="nil"/>
              <w:right w:val="nil"/>
            </w:tcBorders>
            <w:vAlign w:val="bottom"/>
          </w:tcPr>
          <w:p w14:paraId="5BA8D378" w14:textId="0937E0E1" w:rsidR="00F6572F" w:rsidRPr="00F6572F" w:rsidRDefault="00F6572F" w:rsidP="00F6572F">
            <w:pPr>
              <w:jc w:val="right"/>
              <w:rPr>
                <w:rFonts w:ascii="Palatino Linotype" w:hAnsi="Palatino Linotype" w:cs="Arial"/>
                <w:color w:val="000000" w:themeColor="text1"/>
                <w:sz w:val="22"/>
                <w:szCs w:val="22"/>
              </w:rPr>
            </w:pPr>
            <w:r w:rsidRPr="00F6572F">
              <w:rPr>
                <w:rFonts w:ascii="Palatino Linotype" w:hAnsi="Palatino Linotype" w:cs="Calibri"/>
                <w:color w:val="000000"/>
                <w:sz w:val="22"/>
                <w:szCs w:val="22"/>
              </w:rPr>
              <w:t>-46</w:t>
            </w:r>
          </w:p>
        </w:tc>
        <w:tc>
          <w:tcPr>
            <w:tcW w:w="925" w:type="dxa"/>
            <w:tcBorders>
              <w:top w:val="nil"/>
              <w:left w:val="nil"/>
              <w:right w:val="nil"/>
            </w:tcBorders>
            <w:shd w:val="clear" w:color="auto" w:fill="auto"/>
            <w:noWrap/>
            <w:vAlign w:val="bottom"/>
          </w:tcPr>
          <w:p w14:paraId="76C59887" w14:textId="7AC55DA7" w:rsidR="00F6572F" w:rsidRPr="00F6572F" w:rsidRDefault="00F6572F" w:rsidP="00F6572F">
            <w:pPr>
              <w:jc w:val="right"/>
              <w:rPr>
                <w:rFonts w:ascii="Palatino Linotype" w:hAnsi="Palatino Linotype" w:cs="Arial"/>
                <w:color w:val="000000" w:themeColor="text1"/>
                <w:sz w:val="22"/>
                <w:szCs w:val="22"/>
              </w:rPr>
            </w:pPr>
            <w:r w:rsidRPr="00F6572F">
              <w:rPr>
                <w:rFonts w:ascii="Palatino Linotype" w:hAnsi="Palatino Linotype" w:cs="Calibri"/>
                <w:color w:val="000000"/>
                <w:sz w:val="22"/>
                <w:szCs w:val="22"/>
              </w:rPr>
              <w:t>-44</w:t>
            </w:r>
          </w:p>
        </w:tc>
        <w:tc>
          <w:tcPr>
            <w:tcW w:w="925" w:type="dxa"/>
            <w:tcBorders>
              <w:top w:val="nil"/>
              <w:left w:val="nil"/>
              <w:right w:val="nil"/>
            </w:tcBorders>
            <w:shd w:val="clear" w:color="auto" w:fill="auto"/>
            <w:noWrap/>
            <w:vAlign w:val="bottom"/>
          </w:tcPr>
          <w:p w14:paraId="15796F80" w14:textId="1756D43B" w:rsidR="00F6572F" w:rsidRPr="00F6572F" w:rsidRDefault="00F6572F" w:rsidP="00F6572F">
            <w:pPr>
              <w:jc w:val="right"/>
              <w:rPr>
                <w:rFonts w:ascii="Palatino Linotype" w:hAnsi="Palatino Linotype" w:cs="Arial"/>
                <w:color w:val="000000" w:themeColor="text1"/>
                <w:sz w:val="22"/>
                <w:szCs w:val="22"/>
              </w:rPr>
            </w:pPr>
            <w:r w:rsidRPr="00F6572F">
              <w:rPr>
                <w:rFonts w:ascii="Palatino Linotype" w:hAnsi="Palatino Linotype" w:cs="Calibri"/>
                <w:color w:val="000000"/>
                <w:sz w:val="22"/>
                <w:szCs w:val="22"/>
              </w:rPr>
              <w:t>-42</w:t>
            </w:r>
          </w:p>
        </w:tc>
        <w:tc>
          <w:tcPr>
            <w:tcW w:w="925" w:type="dxa"/>
            <w:tcBorders>
              <w:top w:val="nil"/>
              <w:left w:val="nil"/>
              <w:right w:val="nil"/>
            </w:tcBorders>
            <w:shd w:val="clear" w:color="auto" w:fill="auto"/>
            <w:noWrap/>
            <w:vAlign w:val="bottom"/>
          </w:tcPr>
          <w:p w14:paraId="6EB75019" w14:textId="40D89F2B" w:rsidR="00F6572F" w:rsidRPr="00F6572F" w:rsidRDefault="00F6572F" w:rsidP="00F6572F">
            <w:pPr>
              <w:jc w:val="right"/>
              <w:rPr>
                <w:rFonts w:ascii="Palatino Linotype" w:hAnsi="Palatino Linotype" w:cs="Arial"/>
                <w:color w:val="000000" w:themeColor="text1"/>
                <w:sz w:val="22"/>
                <w:szCs w:val="22"/>
              </w:rPr>
            </w:pPr>
            <w:r w:rsidRPr="00F6572F">
              <w:rPr>
                <w:rFonts w:ascii="Palatino Linotype" w:hAnsi="Palatino Linotype" w:cs="Calibri"/>
                <w:color w:val="000000"/>
                <w:sz w:val="22"/>
                <w:szCs w:val="22"/>
              </w:rPr>
              <w:t>-43</w:t>
            </w:r>
          </w:p>
        </w:tc>
      </w:tr>
      <w:bookmarkEnd w:id="21"/>
      <w:tr w:rsidR="00F6572F" w:rsidRPr="00A422C0" w14:paraId="483CF877" w14:textId="77777777" w:rsidTr="00353A4C">
        <w:trPr>
          <w:trHeight w:val="264"/>
        </w:trPr>
        <w:tc>
          <w:tcPr>
            <w:tcW w:w="4911" w:type="dxa"/>
            <w:tcBorders>
              <w:top w:val="nil"/>
              <w:left w:val="nil"/>
              <w:right w:val="nil"/>
            </w:tcBorders>
            <w:shd w:val="clear" w:color="auto" w:fill="auto"/>
            <w:noWrap/>
            <w:vAlign w:val="bottom"/>
          </w:tcPr>
          <w:p w14:paraId="5DE17395" w14:textId="77777777" w:rsidR="00F6572F" w:rsidRPr="00A422C0" w:rsidRDefault="00F6572F" w:rsidP="00F6572F">
            <w:pPr>
              <w:rPr>
                <w:rFonts w:ascii="Palatino Linotype" w:hAnsi="Palatino Linotype" w:cs="Arial"/>
                <w:color w:val="000000" w:themeColor="text1"/>
                <w:sz w:val="22"/>
                <w:szCs w:val="22"/>
              </w:rPr>
            </w:pPr>
            <w:r w:rsidRPr="00A422C0">
              <w:rPr>
                <w:rFonts w:ascii="Palatino Linotype" w:hAnsi="Palatino Linotype" w:cs="Arial"/>
                <w:color w:val="000000" w:themeColor="text1"/>
                <w:sz w:val="22"/>
                <w:szCs w:val="22"/>
              </w:rPr>
              <w:t>Private employment (jobs)</w:t>
            </w:r>
          </w:p>
        </w:tc>
        <w:tc>
          <w:tcPr>
            <w:tcW w:w="924" w:type="dxa"/>
            <w:tcBorders>
              <w:top w:val="nil"/>
              <w:left w:val="nil"/>
              <w:right w:val="nil"/>
            </w:tcBorders>
            <w:shd w:val="clear" w:color="auto" w:fill="auto"/>
            <w:noWrap/>
            <w:vAlign w:val="bottom"/>
          </w:tcPr>
          <w:p w14:paraId="2D1BFDE3" w14:textId="692702A9" w:rsidR="00F6572F" w:rsidRPr="00F6572F" w:rsidRDefault="008E2D6A" w:rsidP="00F6572F">
            <w:pPr>
              <w:jc w:val="right"/>
              <w:rPr>
                <w:rFonts w:ascii="Palatino Linotype" w:hAnsi="Palatino Linotype" w:cs="Arial"/>
                <w:color w:val="000000" w:themeColor="text1"/>
                <w:sz w:val="22"/>
                <w:szCs w:val="22"/>
              </w:rPr>
            </w:pPr>
            <w:r>
              <w:rPr>
                <w:rFonts w:ascii="Palatino Linotype" w:hAnsi="Palatino Linotype" w:cs="Calibri"/>
                <w:color w:val="000000"/>
                <w:sz w:val="22"/>
                <w:szCs w:val="22"/>
              </w:rPr>
              <w:t>-</w:t>
            </w:r>
            <w:r w:rsidR="00F6572F" w:rsidRPr="00F6572F">
              <w:rPr>
                <w:rFonts w:ascii="Palatino Linotype" w:hAnsi="Palatino Linotype" w:cs="Calibri"/>
                <w:color w:val="000000"/>
                <w:sz w:val="22"/>
                <w:szCs w:val="22"/>
              </w:rPr>
              <w:t>12,884</w:t>
            </w:r>
          </w:p>
        </w:tc>
        <w:tc>
          <w:tcPr>
            <w:tcW w:w="985" w:type="dxa"/>
            <w:tcBorders>
              <w:top w:val="nil"/>
              <w:left w:val="nil"/>
              <w:right w:val="nil"/>
            </w:tcBorders>
            <w:vAlign w:val="bottom"/>
          </w:tcPr>
          <w:p w14:paraId="25E7B061" w14:textId="1278EAFC" w:rsidR="00F6572F" w:rsidRPr="00F6572F" w:rsidRDefault="00F6572F" w:rsidP="00F6572F">
            <w:pPr>
              <w:jc w:val="right"/>
              <w:rPr>
                <w:rFonts w:ascii="Palatino Linotype" w:hAnsi="Palatino Linotype" w:cs="Arial"/>
                <w:color w:val="000000" w:themeColor="text1"/>
                <w:sz w:val="22"/>
                <w:szCs w:val="22"/>
              </w:rPr>
            </w:pPr>
            <w:r w:rsidRPr="00F6572F">
              <w:rPr>
                <w:rFonts w:ascii="Palatino Linotype" w:hAnsi="Palatino Linotype" w:cs="Calibri"/>
                <w:color w:val="000000"/>
                <w:sz w:val="22"/>
                <w:szCs w:val="22"/>
              </w:rPr>
              <w:t>-12,567</w:t>
            </w:r>
          </w:p>
        </w:tc>
        <w:tc>
          <w:tcPr>
            <w:tcW w:w="925" w:type="dxa"/>
            <w:tcBorders>
              <w:top w:val="nil"/>
              <w:left w:val="nil"/>
              <w:right w:val="nil"/>
            </w:tcBorders>
            <w:shd w:val="clear" w:color="auto" w:fill="auto"/>
            <w:noWrap/>
            <w:vAlign w:val="bottom"/>
          </w:tcPr>
          <w:p w14:paraId="44663495" w14:textId="391CE7AF" w:rsidR="00F6572F" w:rsidRPr="00F6572F" w:rsidRDefault="00280B9D" w:rsidP="00F6572F">
            <w:pPr>
              <w:jc w:val="right"/>
              <w:rPr>
                <w:rFonts w:ascii="Palatino Linotype" w:hAnsi="Palatino Linotype" w:cs="Arial"/>
                <w:color w:val="000000" w:themeColor="text1"/>
                <w:sz w:val="22"/>
                <w:szCs w:val="22"/>
              </w:rPr>
            </w:pPr>
            <w:r>
              <w:rPr>
                <w:rFonts w:ascii="Palatino Linotype" w:hAnsi="Palatino Linotype" w:cs="Calibri"/>
                <w:color w:val="000000"/>
                <w:sz w:val="22"/>
                <w:szCs w:val="22"/>
              </w:rPr>
              <w:t>-</w:t>
            </w:r>
            <w:r w:rsidR="00F6572F" w:rsidRPr="00F6572F">
              <w:rPr>
                <w:rFonts w:ascii="Palatino Linotype" w:hAnsi="Palatino Linotype" w:cs="Calibri"/>
                <w:color w:val="000000"/>
                <w:sz w:val="22"/>
                <w:szCs w:val="22"/>
              </w:rPr>
              <w:t>12,233</w:t>
            </w:r>
          </w:p>
        </w:tc>
        <w:tc>
          <w:tcPr>
            <w:tcW w:w="925" w:type="dxa"/>
            <w:tcBorders>
              <w:top w:val="nil"/>
              <w:left w:val="nil"/>
              <w:right w:val="nil"/>
            </w:tcBorders>
            <w:shd w:val="clear" w:color="auto" w:fill="auto"/>
            <w:noWrap/>
            <w:vAlign w:val="bottom"/>
          </w:tcPr>
          <w:p w14:paraId="1FFC0C93" w14:textId="24F0F7BF" w:rsidR="00F6572F" w:rsidRPr="00F6572F" w:rsidRDefault="00280B9D" w:rsidP="00F6572F">
            <w:pPr>
              <w:jc w:val="right"/>
              <w:rPr>
                <w:rFonts w:ascii="Palatino Linotype" w:hAnsi="Palatino Linotype" w:cs="Arial"/>
                <w:color w:val="000000" w:themeColor="text1"/>
                <w:sz w:val="22"/>
                <w:szCs w:val="22"/>
              </w:rPr>
            </w:pPr>
            <w:r>
              <w:rPr>
                <w:rFonts w:ascii="Palatino Linotype" w:hAnsi="Palatino Linotype" w:cs="Calibri"/>
                <w:color w:val="000000"/>
                <w:sz w:val="22"/>
                <w:szCs w:val="22"/>
              </w:rPr>
              <w:t>-</w:t>
            </w:r>
            <w:r w:rsidR="00F6572F" w:rsidRPr="00F6572F">
              <w:rPr>
                <w:rFonts w:ascii="Palatino Linotype" w:hAnsi="Palatino Linotype" w:cs="Calibri"/>
                <w:color w:val="000000"/>
                <w:sz w:val="22"/>
                <w:szCs w:val="22"/>
              </w:rPr>
              <w:t>11,860</w:t>
            </w:r>
          </w:p>
        </w:tc>
        <w:tc>
          <w:tcPr>
            <w:tcW w:w="925" w:type="dxa"/>
            <w:tcBorders>
              <w:top w:val="nil"/>
              <w:left w:val="nil"/>
              <w:right w:val="nil"/>
            </w:tcBorders>
            <w:shd w:val="clear" w:color="auto" w:fill="auto"/>
            <w:noWrap/>
            <w:vAlign w:val="bottom"/>
          </w:tcPr>
          <w:p w14:paraId="237B3214" w14:textId="4B5D25B0" w:rsidR="00F6572F" w:rsidRPr="00F6572F" w:rsidRDefault="00280B9D" w:rsidP="00F6572F">
            <w:pPr>
              <w:jc w:val="right"/>
              <w:rPr>
                <w:rFonts w:ascii="Palatino Linotype" w:hAnsi="Palatino Linotype" w:cs="Arial"/>
                <w:color w:val="000000" w:themeColor="text1"/>
                <w:sz w:val="22"/>
                <w:szCs w:val="22"/>
              </w:rPr>
            </w:pPr>
            <w:r>
              <w:rPr>
                <w:rFonts w:ascii="Palatino Linotype" w:hAnsi="Palatino Linotype" w:cs="Calibri"/>
                <w:color w:val="000000"/>
                <w:sz w:val="22"/>
                <w:szCs w:val="22"/>
              </w:rPr>
              <w:t>-</w:t>
            </w:r>
            <w:r w:rsidR="00F6572F" w:rsidRPr="00F6572F">
              <w:rPr>
                <w:rFonts w:ascii="Palatino Linotype" w:hAnsi="Palatino Linotype" w:cs="Calibri"/>
                <w:color w:val="000000"/>
                <w:sz w:val="22"/>
                <w:szCs w:val="22"/>
              </w:rPr>
              <w:t>11,424</w:t>
            </w:r>
          </w:p>
        </w:tc>
      </w:tr>
      <w:tr w:rsidR="00F6572F" w:rsidRPr="00A422C0" w14:paraId="58B4D88A" w14:textId="77777777" w:rsidTr="00353A4C">
        <w:trPr>
          <w:trHeight w:val="264"/>
        </w:trPr>
        <w:tc>
          <w:tcPr>
            <w:tcW w:w="4911" w:type="dxa"/>
            <w:tcBorders>
              <w:top w:val="nil"/>
              <w:left w:val="nil"/>
              <w:right w:val="nil"/>
            </w:tcBorders>
            <w:shd w:val="clear" w:color="auto" w:fill="auto"/>
            <w:noWrap/>
            <w:vAlign w:val="bottom"/>
          </w:tcPr>
          <w:p w14:paraId="6614C6D8" w14:textId="77777777" w:rsidR="00F6572F" w:rsidRPr="00A422C0" w:rsidRDefault="00F6572F" w:rsidP="00F6572F">
            <w:pPr>
              <w:rPr>
                <w:rFonts w:ascii="Palatino Linotype" w:hAnsi="Palatino Linotype" w:cs="Arial"/>
                <w:color w:val="000000" w:themeColor="text1"/>
                <w:sz w:val="22"/>
                <w:szCs w:val="22"/>
              </w:rPr>
            </w:pPr>
            <w:r w:rsidRPr="00A422C0">
              <w:rPr>
                <w:rFonts w:ascii="Palatino Linotype" w:hAnsi="Palatino Linotype" w:cs="Arial"/>
                <w:color w:val="000000" w:themeColor="text1"/>
                <w:sz w:val="22"/>
                <w:szCs w:val="22"/>
              </w:rPr>
              <w:t>Investment ($, mil.)</w:t>
            </w:r>
          </w:p>
        </w:tc>
        <w:tc>
          <w:tcPr>
            <w:tcW w:w="924" w:type="dxa"/>
            <w:tcBorders>
              <w:top w:val="nil"/>
              <w:left w:val="nil"/>
              <w:right w:val="nil"/>
            </w:tcBorders>
            <w:shd w:val="clear" w:color="auto" w:fill="auto"/>
            <w:noWrap/>
            <w:vAlign w:val="bottom"/>
          </w:tcPr>
          <w:p w14:paraId="461D2F99" w14:textId="7B601242" w:rsidR="00F6572F" w:rsidRPr="00F6572F" w:rsidRDefault="00F6572F" w:rsidP="00F6572F">
            <w:pPr>
              <w:jc w:val="right"/>
              <w:rPr>
                <w:rFonts w:ascii="Palatino Linotype" w:hAnsi="Palatino Linotype" w:cs="Arial"/>
                <w:color w:val="000000" w:themeColor="text1"/>
                <w:sz w:val="22"/>
                <w:szCs w:val="22"/>
              </w:rPr>
            </w:pPr>
            <w:r w:rsidRPr="00F6572F">
              <w:rPr>
                <w:rFonts w:ascii="Palatino Linotype" w:hAnsi="Palatino Linotype" w:cs="Calibri"/>
                <w:color w:val="000000"/>
                <w:sz w:val="22"/>
                <w:szCs w:val="22"/>
              </w:rPr>
              <w:t>-165</w:t>
            </w:r>
          </w:p>
        </w:tc>
        <w:tc>
          <w:tcPr>
            <w:tcW w:w="985" w:type="dxa"/>
            <w:tcBorders>
              <w:top w:val="nil"/>
              <w:left w:val="nil"/>
              <w:right w:val="nil"/>
            </w:tcBorders>
            <w:vAlign w:val="bottom"/>
          </w:tcPr>
          <w:p w14:paraId="68B7E655" w14:textId="121FCA99" w:rsidR="00F6572F" w:rsidRPr="00F6572F" w:rsidRDefault="00F6572F" w:rsidP="00F6572F">
            <w:pPr>
              <w:jc w:val="right"/>
              <w:rPr>
                <w:rFonts w:ascii="Palatino Linotype" w:hAnsi="Palatino Linotype" w:cs="Arial"/>
                <w:color w:val="000000" w:themeColor="text1"/>
                <w:sz w:val="22"/>
                <w:szCs w:val="22"/>
              </w:rPr>
            </w:pPr>
            <w:r w:rsidRPr="00F6572F">
              <w:rPr>
                <w:rFonts w:ascii="Palatino Linotype" w:hAnsi="Palatino Linotype" w:cs="Calibri"/>
                <w:color w:val="000000"/>
                <w:sz w:val="22"/>
                <w:szCs w:val="22"/>
              </w:rPr>
              <w:t>-171</w:t>
            </w:r>
          </w:p>
        </w:tc>
        <w:tc>
          <w:tcPr>
            <w:tcW w:w="925" w:type="dxa"/>
            <w:tcBorders>
              <w:top w:val="nil"/>
              <w:left w:val="nil"/>
              <w:right w:val="nil"/>
            </w:tcBorders>
            <w:shd w:val="clear" w:color="auto" w:fill="auto"/>
            <w:noWrap/>
            <w:vAlign w:val="bottom"/>
          </w:tcPr>
          <w:p w14:paraId="720C3E57" w14:textId="287FD953" w:rsidR="00F6572F" w:rsidRPr="00F6572F" w:rsidRDefault="00F6572F" w:rsidP="00F6572F">
            <w:pPr>
              <w:jc w:val="right"/>
              <w:rPr>
                <w:rFonts w:ascii="Palatino Linotype" w:hAnsi="Palatino Linotype" w:cs="Arial"/>
                <w:color w:val="000000" w:themeColor="text1"/>
                <w:sz w:val="22"/>
                <w:szCs w:val="22"/>
              </w:rPr>
            </w:pPr>
            <w:r w:rsidRPr="00F6572F">
              <w:rPr>
                <w:rFonts w:ascii="Palatino Linotype" w:hAnsi="Palatino Linotype" w:cs="Calibri"/>
                <w:color w:val="000000"/>
                <w:sz w:val="22"/>
                <w:szCs w:val="22"/>
              </w:rPr>
              <w:t>-175</w:t>
            </w:r>
          </w:p>
        </w:tc>
        <w:tc>
          <w:tcPr>
            <w:tcW w:w="925" w:type="dxa"/>
            <w:tcBorders>
              <w:top w:val="nil"/>
              <w:left w:val="nil"/>
              <w:right w:val="nil"/>
            </w:tcBorders>
            <w:shd w:val="clear" w:color="auto" w:fill="auto"/>
            <w:noWrap/>
            <w:vAlign w:val="bottom"/>
          </w:tcPr>
          <w:p w14:paraId="5AC08C49" w14:textId="46A457ED" w:rsidR="00F6572F" w:rsidRPr="00F6572F" w:rsidRDefault="00F6572F" w:rsidP="00F6572F">
            <w:pPr>
              <w:jc w:val="right"/>
              <w:rPr>
                <w:rFonts w:ascii="Palatino Linotype" w:hAnsi="Palatino Linotype" w:cs="Arial"/>
                <w:color w:val="000000" w:themeColor="text1"/>
                <w:sz w:val="22"/>
                <w:szCs w:val="22"/>
              </w:rPr>
            </w:pPr>
            <w:r w:rsidRPr="00F6572F">
              <w:rPr>
                <w:rFonts w:ascii="Palatino Linotype" w:hAnsi="Palatino Linotype" w:cs="Calibri"/>
                <w:color w:val="000000"/>
                <w:sz w:val="22"/>
                <w:szCs w:val="22"/>
              </w:rPr>
              <w:t>-181</w:t>
            </w:r>
          </w:p>
        </w:tc>
        <w:tc>
          <w:tcPr>
            <w:tcW w:w="925" w:type="dxa"/>
            <w:tcBorders>
              <w:top w:val="nil"/>
              <w:left w:val="nil"/>
              <w:right w:val="nil"/>
            </w:tcBorders>
            <w:shd w:val="clear" w:color="auto" w:fill="auto"/>
            <w:noWrap/>
            <w:vAlign w:val="bottom"/>
          </w:tcPr>
          <w:p w14:paraId="27D2AFF4" w14:textId="5CEB0B55" w:rsidR="00F6572F" w:rsidRPr="00F6572F" w:rsidRDefault="00F6572F" w:rsidP="00F6572F">
            <w:pPr>
              <w:jc w:val="right"/>
              <w:rPr>
                <w:rFonts w:ascii="Palatino Linotype" w:hAnsi="Palatino Linotype" w:cs="Arial"/>
                <w:color w:val="000000" w:themeColor="text1"/>
                <w:sz w:val="22"/>
                <w:szCs w:val="22"/>
              </w:rPr>
            </w:pPr>
            <w:r w:rsidRPr="00F6572F">
              <w:rPr>
                <w:rFonts w:ascii="Palatino Linotype" w:hAnsi="Palatino Linotype" w:cs="Calibri"/>
                <w:color w:val="000000"/>
                <w:sz w:val="22"/>
                <w:szCs w:val="22"/>
              </w:rPr>
              <w:t>-187</w:t>
            </w:r>
          </w:p>
        </w:tc>
      </w:tr>
      <w:tr w:rsidR="00F6572F" w:rsidRPr="00A422C0" w14:paraId="5E51EA67" w14:textId="77777777" w:rsidTr="00353A4C">
        <w:trPr>
          <w:trHeight w:val="264"/>
        </w:trPr>
        <w:tc>
          <w:tcPr>
            <w:tcW w:w="4911" w:type="dxa"/>
            <w:tcBorders>
              <w:top w:val="nil"/>
              <w:left w:val="nil"/>
              <w:right w:val="nil"/>
            </w:tcBorders>
            <w:shd w:val="clear" w:color="auto" w:fill="auto"/>
            <w:noWrap/>
            <w:vAlign w:val="bottom"/>
            <w:hideMark/>
          </w:tcPr>
          <w:p w14:paraId="2CE4091D" w14:textId="77777777" w:rsidR="00F6572F" w:rsidRPr="00A422C0" w:rsidRDefault="00F6572F" w:rsidP="00F6572F">
            <w:pPr>
              <w:rPr>
                <w:rFonts w:ascii="Palatino Linotype" w:hAnsi="Palatino Linotype" w:cs="Arial"/>
                <w:color w:val="000000" w:themeColor="text1"/>
                <w:sz w:val="22"/>
                <w:szCs w:val="22"/>
              </w:rPr>
            </w:pPr>
            <w:r w:rsidRPr="00A422C0">
              <w:rPr>
                <w:rFonts w:ascii="Palatino Linotype" w:hAnsi="Palatino Linotype" w:cs="Arial"/>
                <w:color w:val="000000" w:themeColor="text1"/>
                <w:sz w:val="22"/>
                <w:szCs w:val="22"/>
              </w:rPr>
              <w:t>Disposable income, real ($, mil.)</w:t>
            </w:r>
          </w:p>
        </w:tc>
        <w:tc>
          <w:tcPr>
            <w:tcW w:w="924" w:type="dxa"/>
            <w:tcBorders>
              <w:top w:val="nil"/>
              <w:left w:val="nil"/>
              <w:right w:val="nil"/>
            </w:tcBorders>
            <w:shd w:val="clear" w:color="auto" w:fill="auto"/>
            <w:noWrap/>
            <w:vAlign w:val="bottom"/>
          </w:tcPr>
          <w:p w14:paraId="433E755A" w14:textId="745937DC" w:rsidR="00F6572F" w:rsidRPr="00F6572F" w:rsidRDefault="00F6572F" w:rsidP="00F6572F">
            <w:pPr>
              <w:jc w:val="right"/>
              <w:rPr>
                <w:rFonts w:ascii="Palatino Linotype" w:hAnsi="Palatino Linotype" w:cs="Arial"/>
                <w:color w:val="000000" w:themeColor="text1"/>
                <w:sz w:val="22"/>
                <w:szCs w:val="22"/>
              </w:rPr>
            </w:pPr>
            <w:r w:rsidRPr="00F6572F">
              <w:rPr>
                <w:rFonts w:ascii="Palatino Linotype" w:hAnsi="Palatino Linotype" w:cs="Calibri"/>
                <w:color w:val="000000"/>
                <w:sz w:val="22"/>
                <w:szCs w:val="22"/>
              </w:rPr>
              <w:t>-2,307</w:t>
            </w:r>
          </w:p>
        </w:tc>
        <w:tc>
          <w:tcPr>
            <w:tcW w:w="985" w:type="dxa"/>
            <w:tcBorders>
              <w:top w:val="nil"/>
              <w:left w:val="nil"/>
              <w:right w:val="nil"/>
            </w:tcBorders>
            <w:vAlign w:val="bottom"/>
          </w:tcPr>
          <w:p w14:paraId="4E28D30A" w14:textId="0EA07FEC" w:rsidR="00F6572F" w:rsidRPr="00F6572F" w:rsidRDefault="00F6572F" w:rsidP="00F6572F">
            <w:pPr>
              <w:jc w:val="right"/>
              <w:rPr>
                <w:rFonts w:ascii="Palatino Linotype" w:hAnsi="Palatino Linotype" w:cs="Arial"/>
                <w:color w:val="000000" w:themeColor="text1"/>
                <w:sz w:val="22"/>
                <w:szCs w:val="22"/>
              </w:rPr>
            </w:pPr>
            <w:r w:rsidRPr="00F6572F">
              <w:rPr>
                <w:rFonts w:ascii="Palatino Linotype" w:hAnsi="Palatino Linotype" w:cs="Calibri"/>
                <w:color w:val="000000"/>
                <w:sz w:val="22"/>
                <w:szCs w:val="22"/>
              </w:rPr>
              <w:t>-2,342</w:t>
            </w:r>
          </w:p>
        </w:tc>
        <w:tc>
          <w:tcPr>
            <w:tcW w:w="925" w:type="dxa"/>
            <w:tcBorders>
              <w:top w:val="nil"/>
              <w:left w:val="nil"/>
              <w:right w:val="nil"/>
            </w:tcBorders>
            <w:shd w:val="clear" w:color="auto" w:fill="auto"/>
            <w:noWrap/>
            <w:vAlign w:val="bottom"/>
          </w:tcPr>
          <w:p w14:paraId="0F34FC34" w14:textId="5C3EC61A" w:rsidR="00F6572F" w:rsidRPr="00F6572F" w:rsidRDefault="00F6572F" w:rsidP="00F6572F">
            <w:pPr>
              <w:jc w:val="right"/>
              <w:rPr>
                <w:rFonts w:ascii="Palatino Linotype" w:hAnsi="Palatino Linotype" w:cs="Arial"/>
                <w:color w:val="000000" w:themeColor="text1"/>
                <w:sz w:val="22"/>
                <w:szCs w:val="22"/>
              </w:rPr>
            </w:pPr>
            <w:r w:rsidRPr="00F6572F">
              <w:rPr>
                <w:rFonts w:ascii="Palatino Linotype" w:hAnsi="Palatino Linotype" w:cs="Calibri"/>
                <w:color w:val="000000"/>
                <w:sz w:val="22"/>
                <w:szCs w:val="22"/>
              </w:rPr>
              <w:t>-2,379</w:t>
            </w:r>
          </w:p>
        </w:tc>
        <w:tc>
          <w:tcPr>
            <w:tcW w:w="925" w:type="dxa"/>
            <w:tcBorders>
              <w:top w:val="nil"/>
              <w:left w:val="nil"/>
              <w:right w:val="nil"/>
            </w:tcBorders>
            <w:shd w:val="clear" w:color="auto" w:fill="auto"/>
            <w:noWrap/>
            <w:vAlign w:val="bottom"/>
          </w:tcPr>
          <w:p w14:paraId="7EBC1AFF" w14:textId="6E855E17" w:rsidR="00F6572F" w:rsidRPr="00F6572F" w:rsidRDefault="00F6572F" w:rsidP="00F6572F">
            <w:pPr>
              <w:jc w:val="right"/>
              <w:rPr>
                <w:rFonts w:ascii="Palatino Linotype" w:hAnsi="Palatino Linotype" w:cs="Arial"/>
                <w:color w:val="000000" w:themeColor="text1"/>
                <w:sz w:val="22"/>
                <w:szCs w:val="22"/>
              </w:rPr>
            </w:pPr>
            <w:r w:rsidRPr="00F6572F">
              <w:rPr>
                <w:rFonts w:ascii="Palatino Linotype" w:hAnsi="Palatino Linotype" w:cs="Calibri"/>
                <w:color w:val="000000"/>
                <w:sz w:val="22"/>
                <w:szCs w:val="22"/>
              </w:rPr>
              <w:t>-2,414</w:t>
            </w:r>
          </w:p>
        </w:tc>
        <w:tc>
          <w:tcPr>
            <w:tcW w:w="925" w:type="dxa"/>
            <w:tcBorders>
              <w:top w:val="nil"/>
              <w:left w:val="nil"/>
              <w:right w:val="nil"/>
            </w:tcBorders>
            <w:shd w:val="clear" w:color="auto" w:fill="auto"/>
            <w:noWrap/>
            <w:vAlign w:val="bottom"/>
          </w:tcPr>
          <w:p w14:paraId="1164AD1D" w14:textId="3F1C0398" w:rsidR="00F6572F" w:rsidRPr="00F6572F" w:rsidRDefault="00F6572F" w:rsidP="00F6572F">
            <w:pPr>
              <w:jc w:val="right"/>
              <w:rPr>
                <w:rFonts w:ascii="Palatino Linotype" w:hAnsi="Palatino Linotype" w:cs="Arial"/>
                <w:color w:val="000000" w:themeColor="text1"/>
                <w:sz w:val="22"/>
                <w:szCs w:val="22"/>
              </w:rPr>
            </w:pPr>
            <w:r w:rsidRPr="00F6572F">
              <w:rPr>
                <w:rFonts w:ascii="Palatino Linotype" w:hAnsi="Palatino Linotype" w:cs="Calibri"/>
                <w:color w:val="000000"/>
                <w:sz w:val="22"/>
                <w:szCs w:val="22"/>
              </w:rPr>
              <w:t>-2,449</w:t>
            </w:r>
          </w:p>
        </w:tc>
      </w:tr>
      <w:tr w:rsidR="00F6572F" w:rsidRPr="00A422C0" w14:paraId="6382F001" w14:textId="77777777" w:rsidTr="00353A4C">
        <w:trPr>
          <w:trHeight w:val="264"/>
        </w:trPr>
        <w:tc>
          <w:tcPr>
            <w:tcW w:w="4911" w:type="dxa"/>
            <w:tcBorders>
              <w:top w:val="nil"/>
              <w:left w:val="nil"/>
              <w:right w:val="nil"/>
            </w:tcBorders>
            <w:shd w:val="clear" w:color="auto" w:fill="auto"/>
            <w:noWrap/>
            <w:vAlign w:val="bottom"/>
            <w:hideMark/>
          </w:tcPr>
          <w:p w14:paraId="079A6C74" w14:textId="77777777" w:rsidR="00F6572F" w:rsidRPr="00A422C0" w:rsidRDefault="00F6572F" w:rsidP="00F6572F">
            <w:pPr>
              <w:rPr>
                <w:rFonts w:ascii="Palatino Linotype" w:hAnsi="Palatino Linotype" w:cs="Arial"/>
                <w:color w:val="000000" w:themeColor="text1"/>
                <w:sz w:val="22"/>
                <w:szCs w:val="22"/>
              </w:rPr>
            </w:pPr>
            <w:r w:rsidRPr="00A422C0">
              <w:rPr>
                <w:rFonts w:ascii="Palatino Linotype" w:hAnsi="Palatino Linotype" w:cs="Arial"/>
                <w:color w:val="000000" w:themeColor="text1"/>
                <w:sz w:val="22"/>
                <w:szCs w:val="22"/>
              </w:rPr>
              <w:t>Cost per household ($)</w:t>
            </w:r>
          </w:p>
        </w:tc>
        <w:tc>
          <w:tcPr>
            <w:tcW w:w="924" w:type="dxa"/>
            <w:tcBorders>
              <w:top w:val="nil"/>
              <w:left w:val="nil"/>
              <w:right w:val="nil"/>
            </w:tcBorders>
            <w:shd w:val="clear" w:color="auto" w:fill="auto"/>
            <w:noWrap/>
            <w:vAlign w:val="bottom"/>
          </w:tcPr>
          <w:p w14:paraId="4A3F5B5B" w14:textId="396985A1" w:rsidR="00F6572F" w:rsidRPr="00F6572F" w:rsidRDefault="00F6572F" w:rsidP="00F6572F">
            <w:pPr>
              <w:jc w:val="right"/>
              <w:rPr>
                <w:rFonts w:ascii="Palatino Linotype" w:hAnsi="Palatino Linotype" w:cs="Arial"/>
                <w:color w:val="000000" w:themeColor="text1"/>
                <w:sz w:val="22"/>
                <w:szCs w:val="22"/>
              </w:rPr>
            </w:pPr>
            <w:r w:rsidRPr="00F6572F">
              <w:rPr>
                <w:rFonts w:ascii="Palatino Linotype" w:hAnsi="Palatino Linotype" w:cs="Calibri"/>
                <w:color w:val="000000"/>
                <w:sz w:val="22"/>
                <w:szCs w:val="22"/>
              </w:rPr>
              <w:t>737</w:t>
            </w:r>
          </w:p>
        </w:tc>
        <w:tc>
          <w:tcPr>
            <w:tcW w:w="985" w:type="dxa"/>
            <w:tcBorders>
              <w:top w:val="nil"/>
              <w:left w:val="nil"/>
              <w:right w:val="nil"/>
            </w:tcBorders>
            <w:vAlign w:val="bottom"/>
          </w:tcPr>
          <w:p w14:paraId="7BA09B41" w14:textId="2B30015F" w:rsidR="00F6572F" w:rsidRPr="00F6572F" w:rsidRDefault="00F6572F" w:rsidP="00F6572F">
            <w:pPr>
              <w:jc w:val="right"/>
              <w:rPr>
                <w:rFonts w:ascii="Palatino Linotype" w:hAnsi="Palatino Linotype" w:cs="Arial"/>
                <w:color w:val="000000" w:themeColor="text1"/>
                <w:sz w:val="22"/>
                <w:szCs w:val="22"/>
              </w:rPr>
            </w:pPr>
            <w:r w:rsidRPr="00F6572F">
              <w:rPr>
                <w:rFonts w:ascii="Palatino Linotype" w:hAnsi="Palatino Linotype" w:cs="Calibri"/>
                <w:color w:val="000000"/>
                <w:sz w:val="22"/>
                <w:szCs w:val="22"/>
              </w:rPr>
              <w:t>749</w:t>
            </w:r>
          </w:p>
        </w:tc>
        <w:tc>
          <w:tcPr>
            <w:tcW w:w="925" w:type="dxa"/>
            <w:tcBorders>
              <w:top w:val="nil"/>
              <w:left w:val="nil"/>
              <w:right w:val="nil"/>
            </w:tcBorders>
            <w:shd w:val="clear" w:color="auto" w:fill="auto"/>
            <w:noWrap/>
            <w:vAlign w:val="bottom"/>
          </w:tcPr>
          <w:p w14:paraId="5B710DB7" w14:textId="0CC66D5E" w:rsidR="00F6572F" w:rsidRPr="00F6572F" w:rsidRDefault="00F6572F" w:rsidP="00F6572F">
            <w:pPr>
              <w:jc w:val="right"/>
              <w:rPr>
                <w:rFonts w:ascii="Palatino Linotype" w:hAnsi="Palatino Linotype" w:cs="Arial"/>
                <w:color w:val="000000" w:themeColor="text1"/>
                <w:sz w:val="22"/>
                <w:szCs w:val="22"/>
              </w:rPr>
            </w:pPr>
            <w:r w:rsidRPr="00F6572F">
              <w:rPr>
                <w:rFonts w:ascii="Palatino Linotype" w:hAnsi="Palatino Linotype" w:cs="Calibri"/>
                <w:color w:val="000000"/>
                <w:sz w:val="22"/>
                <w:szCs w:val="22"/>
              </w:rPr>
              <w:t>760</w:t>
            </w:r>
          </w:p>
        </w:tc>
        <w:tc>
          <w:tcPr>
            <w:tcW w:w="925" w:type="dxa"/>
            <w:tcBorders>
              <w:top w:val="nil"/>
              <w:left w:val="nil"/>
              <w:right w:val="nil"/>
            </w:tcBorders>
            <w:shd w:val="clear" w:color="auto" w:fill="auto"/>
            <w:noWrap/>
            <w:vAlign w:val="bottom"/>
          </w:tcPr>
          <w:p w14:paraId="1B27FE20" w14:textId="49E0046E" w:rsidR="00F6572F" w:rsidRPr="00F6572F" w:rsidRDefault="00F6572F" w:rsidP="00F6572F">
            <w:pPr>
              <w:jc w:val="right"/>
              <w:rPr>
                <w:rFonts w:ascii="Palatino Linotype" w:hAnsi="Palatino Linotype" w:cs="Arial"/>
                <w:color w:val="000000" w:themeColor="text1"/>
                <w:sz w:val="22"/>
                <w:szCs w:val="22"/>
              </w:rPr>
            </w:pPr>
            <w:r w:rsidRPr="00F6572F">
              <w:rPr>
                <w:rFonts w:ascii="Palatino Linotype" w:hAnsi="Palatino Linotype" w:cs="Calibri"/>
                <w:color w:val="000000"/>
                <w:sz w:val="22"/>
                <w:szCs w:val="22"/>
              </w:rPr>
              <w:t>771</w:t>
            </w:r>
          </w:p>
        </w:tc>
        <w:tc>
          <w:tcPr>
            <w:tcW w:w="925" w:type="dxa"/>
            <w:tcBorders>
              <w:top w:val="nil"/>
              <w:left w:val="nil"/>
              <w:right w:val="nil"/>
            </w:tcBorders>
            <w:shd w:val="clear" w:color="auto" w:fill="auto"/>
            <w:noWrap/>
            <w:vAlign w:val="bottom"/>
          </w:tcPr>
          <w:p w14:paraId="684CC087" w14:textId="30DAFD0A" w:rsidR="00F6572F" w:rsidRPr="00F6572F" w:rsidRDefault="00F6572F" w:rsidP="00F6572F">
            <w:pPr>
              <w:jc w:val="right"/>
              <w:rPr>
                <w:rFonts w:ascii="Palatino Linotype" w:hAnsi="Palatino Linotype" w:cs="Arial"/>
                <w:color w:val="000000" w:themeColor="text1"/>
                <w:sz w:val="22"/>
                <w:szCs w:val="22"/>
              </w:rPr>
            </w:pPr>
            <w:r w:rsidRPr="00F6572F">
              <w:rPr>
                <w:rFonts w:ascii="Palatino Linotype" w:hAnsi="Palatino Linotype" w:cs="Calibri"/>
                <w:color w:val="000000"/>
                <w:sz w:val="22"/>
                <w:szCs w:val="22"/>
              </w:rPr>
              <w:t>782</w:t>
            </w:r>
          </w:p>
        </w:tc>
      </w:tr>
      <w:tr w:rsidR="00F6572F" w:rsidRPr="00A422C0" w14:paraId="2A87E81C" w14:textId="77777777" w:rsidTr="00353A4C">
        <w:trPr>
          <w:trHeight w:val="264"/>
        </w:trPr>
        <w:tc>
          <w:tcPr>
            <w:tcW w:w="4911" w:type="dxa"/>
            <w:tcBorders>
              <w:top w:val="single" w:sz="4" w:space="0" w:color="auto"/>
              <w:left w:val="nil"/>
              <w:right w:val="nil"/>
            </w:tcBorders>
            <w:shd w:val="clear" w:color="auto" w:fill="auto"/>
            <w:noWrap/>
            <w:vAlign w:val="bottom"/>
            <w:hideMark/>
          </w:tcPr>
          <w:p w14:paraId="313E44F5" w14:textId="77777777" w:rsidR="00F6572F" w:rsidRPr="00A422C0" w:rsidRDefault="00F6572F" w:rsidP="00F6572F">
            <w:pPr>
              <w:rPr>
                <w:rFonts w:ascii="Palatino Linotype" w:hAnsi="Palatino Linotype" w:cs="Arial"/>
                <w:color w:val="000000" w:themeColor="text1"/>
                <w:sz w:val="22"/>
                <w:szCs w:val="22"/>
              </w:rPr>
            </w:pPr>
            <w:r w:rsidRPr="00A422C0">
              <w:rPr>
                <w:rFonts w:ascii="Palatino Linotype" w:hAnsi="Palatino Linotype" w:cs="Arial"/>
                <w:color w:val="000000" w:themeColor="text1"/>
                <w:sz w:val="22"/>
                <w:szCs w:val="22"/>
              </w:rPr>
              <w:t>Total social cost of TCI ($, mil.)</w:t>
            </w:r>
          </w:p>
        </w:tc>
        <w:tc>
          <w:tcPr>
            <w:tcW w:w="924" w:type="dxa"/>
            <w:tcBorders>
              <w:top w:val="single" w:sz="4" w:space="0" w:color="auto"/>
              <w:left w:val="nil"/>
              <w:right w:val="nil"/>
            </w:tcBorders>
            <w:shd w:val="clear" w:color="auto" w:fill="auto"/>
            <w:noWrap/>
            <w:vAlign w:val="bottom"/>
          </w:tcPr>
          <w:p w14:paraId="3CE848BD" w14:textId="5BFA30FD" w:rsidR="00F6572F" w:rsidRPr="00F6572F" w:rsidRDefault="00F6572F" w:rsidP="00F6572F">
            <w:pPr>
              <w:jc w:val="right"/>
              <w:rPr>
                <w:rFonts w:ascii="Palatino Linotype" w:hAnsi="Palatino Linotype" w:cs="Arial"/>
                <w:color w:val="000000" w:themeColor="text1"/>
                <w:sz w:val="22"/>
                <w:szCs w:val="22"/>
              </w:rPr>
            </w:pPr>
            <w:r w:rsidRPr="00F6572F">
              <w:rPr>
                <w:rFonts w:ascii="Palatino Linotype" w:hAnsi="Palatino Linotype" w:cs="Calibri"/>
                <w:color w:val="000000"/>
                <w:sz w:val="22"/>
                <w:szCs w:val="22"/>
              </w:rPr>
              <w:t>1,083</w:t>
            </w:r>
          </w:p>
        </w:tc>
        <w:tc>
          <w:tcPr>
            <w:tcW w:w="985" w:type="dxa"/>
            <w:tcBorders>
              <w:top w:val="single" w:sz="4" w:space="0" w:color="auto"/>
              <w:left w:val="nil"/>
              <w:right w:val="nil"/>
            </w:tcBorders>
            <w:vAlign w:val="bottom"/>
          </w:tcPr>
          <w:p w14:paraId="363B5D6B" w14:textId="46E9EAB1" w:rsidR="00F6572F" w:rsidRPr="00F6572F" w:rsidRDefault="00F6572F" w:rsidP="00F6572F">
            <w:pPr>
              <w:jc w:val="right"/>
              <w:rPr>
                <w:rFonts w:ascii="Palatino Linotype" w:hAnsi="Palatino Linotype" w:cs="Arial"/>
                <w:color w:val="000000" w:themeColor="text1"/>
                <w:sz w:val="22"/>
                <w:szCs w:val="22"/>
              </w:rPr>
            </w:pPr>
            <w:r w:rsidRPr="00F6572F">
              <w:rPr>
                <w:rFonts w:ascii="Palatino Linotype" w:hAnsi="Palatino Linotype" w:cs="Calibri"/>
                <w:color w:val="000000"/>
                <w:sz w:val="22"/>
                <w:szCs w:val="22"/>
              </w:rPr>
              <w:t>1,068</w:t>
            </w:r>
          </w:p>
        </w:tc>
        <w:tc>
          <w:tcPr>
            <w:tcW w:w="925" w:type="dxa"/>
            <w:tcBorders>
              <w:top w:val="single" w:sz="4" w:space="0" w:color="auto"/>
              <w:left w:val="nil"/>
              <w:right w:val="nil"/>
            </w:tcBorders>
            <w:shd w:val="clear" w:color="auto" w:fill="auto"/>
            <w:noWrap/>
            <w:vAlign w:val="bottom"/>
          </w:tcPr>
          <w:p w14:paraId="1E7B94C9" w14:textId="46278F75" w:rsidR="00F6572F" w:rsidRPr="00F6572F" w:rsidRDefault="00F6572F" w:rsidP="00F6572F">
            <w:pPr>
              <w:jc w:val="right"/>
              <w:rPr>
                <w:rFonts w:ascii="Palatino Linotype" w:hAnsi="Palatino Linotype" w:cs="Arial"/>
                <w:color w:val="000000" w:themeColor="text1"/>
                <w:sz w:val="22"/>
                <w:szCs w:val="22"/>
              </w:rPr>
            </w:pPr>
            <w:r w:rsidRPr="00F6572F">
              <w:rPr>
                <w:rFonts w:ascii="Palatino Linotype" w:hAnsi="Palatino Linotype" w:cs="Calibri"/>
                <w:color w:val="000000"/>
                <w:sz w:val="22"/>
                <w:szCs w:val="22"/>
              </w:rPr>
              <w:t>1,052</w:t>
            </w:r>
          </w:p>
        </w:tc>
        <w:tc>
          <w:tcPr>
            <w:tcW w:w="925" w:type="dxa"/>
            <w:tcBorders>
              <w:top w:val="single" w:sz="4" w:space="0" w:color="auto"/>
              <w:left w:val="nil"/>
              <w:right w:val="nil"/>
            </w:tcBorders>
            <w:shd w:val="clear" w:color="auto" w:fill="auto"/>
            <w:noWrap/>
            <w:vAlign w:val="bottom"/>
          </w:tcPr>
          <w:p w14:paraId="06079E5E" w14:textId="71D36854" w:rsidR="00F6572F" w:rsidRPr="00F6572F" w:rsidRDefault="00F6572F" w:rsidP="00F6572F">
            <w:pPr>
              <w:jc w:val="right"/>
              <w:rPr>
                <w:rFonts w:ascii="Palatino Linotype" w:hAnsi="Palatino Linotype" w:cs="Arial"/>
                <w:color w:val="000000" w:themeColor="text1"/>
                <w:sz w:val="22"/>
                <w:szCs w:val="22"/>
              </w:rPr>
            </w:pPr>
            <w:r w:rsidRPr="00F6572F">
              <w:rPr>
                <w:rFonts w:ascii="Palatino Linotype" w:hAnsi="Palatino Linotype" w:cs="Calibri"/>
                <w:color w:val="000000"/>
                <w:sz w:val="22"/>
                <w:szCs w:val="22"/>
              </w:rPr>
              <w:t>1,035</w:t>
            </w:r>
          </w:p>
        </w:tc>
        <w:tc>
          <w:tcPr>
            <w:tcW w:w="925" w:type="dxa"/>
            <w:tcBorders>
              <w:top w:val="single" w:sz="4" w:space="0" w:color="auto"/>
              <w:left w:val="nil"/>
              <w:right w:val="nil"/>
            </w:tcBorders>
            <w:shd w:val="clear" w:color="auto" w:fill="auto"/>
            <w:noWrap/>
            <w:vAlign w:val="bottom"/>
          </w:tcPr>
          <w:p w14:paraId="6D532A3A" w14:textId="48DE9D37" w:rsidR="00F6572F" w:rsidRPr="00F6572F" w:rsidRDefault="00F6572F" w:rsidP="00F6572F">
            <w:pPr>
              <w:jc w:val="right"/>
              <w:rPr>
                <w:rFonts w:ascii="Palatino Linotype" w:hAnsi="Palatino Linotype" w:cs="Arial"/>
                <w:color w:val="000000" w:themeColor="text1"/>
                <w:sz w:val="22"/>
                <w:szCs w:val="22"/>
              </w:rPr>
            </w:pPr>
            <w:r w:rsidRPr="00F6572F">
              <w:rPr>
                <w:rFonts w:ascii="Palatino Linotype" w:hAnsi="Palatino Linotype" w:cs="Calibri"/>
                <w:color w:val="000000"/>
                <w:sz w:val="22"/>
                <w:szCs w:val="22"/>
              </w:rPr>
              <w:t>1,017</w:t>
            </w:r>
          </w:p>
        </w:tc>
      </w:tr>
      <w:tr w:rsidR="00F6572F" w:rsidRPr="00A422C0" w14:paraId="6A3396EA" w14:textId="77777777" w:rsidTr="00D520F1">
        <w:trPr>
          <w:trHeight w:val="264"/>
        </w:trPr>
        <w:tc>
          <w:tcPr>
            <w:tcW w:w="4911" w:type="dxa"/>
            <w:tcBorders>
              <w:left w:val="nil"/>
              <w:right w:val="nil"/>
            </w:tcBorders>
            <w:shd w:val="clear" w:color="auto" w:fill="auto"/>
            <w:noWrap/>
            <w:vAlign w:val="bottom"/>
          </w:tcPr>
          <w:p w14:paraId="3AE04986" w14:textId="77777777" w:rsidR="00F6572F" w:rsidRPr="00A422C0" w:rsidRDefault="00F6572F" w:rsidP="00F6572F">
            <w:pPr>
              <w:rPr>
                <w:rFonts w:ascii="Palatino Linotype" w:hAnsi="Palatino Linotype" w:cs="Arial"/>
                <w:color w:val="000000" w:themeColor="text1"/>
                <w:sz w:val="22"/>
                <w:szCs w:val="22"/>
              </w:rPr>
            </w:pPr>
            <w:r w:rsidRPr="00A422C0">
              <w:rPr>
                <w:rFonts w:ascii="Palatino Linotype" w:hAnsi="Palatino Linotype" w:cs="Arial"/>
                <w:color w:val="000000" w:themeColor="text1"/>
                <w:sz w:val="22"/>
                <w:szCs w:val="22"/>
              </w:rPr>
              <w:t>Total social benefits of TCI ($, mil.)</w:t>
            </w:r>
          </w:p>
        </w:tc>
        <w:tc>
          <w:tcPr>
            <w:tcW w:w="924" w:type="dxa"/>
            <w:tcBorders>
              <w:left w:val="nil"/>
              <w:right w:val="nil"/>
            </w:tcBorders>
            <w:shd w:val="clear" w:color="auto" w:fill="auto"/>
            <w:noWrap/>
            <w:vAlign w:val="bottom"/>
          </w:tcPr>
          <w:p w14:paraId="49715ADE" w14:textId="1FD4BCCE" w:rsidR="00F6572F" w:rsidRPr="00F6572F" w:rsidRDefault="00F6572F" w:rsidP="00F6572F">
            <w:pPr>
              <w:jc w:val="right"/>
              <w:rPr>
                <w:rFonts w:ascii="Palatino Linotype" w:hAnsi="Palatino Linotype" w:cs="Arial"/>
                <w:color w:val="000000" w:themeColor="text1"/>
                <w:sz w:val="22"/>
                <w:szCs w:val="22"/>
              </w:rPr>
            </w:pPr>
            <w:r w:rsidRPr="00F6572F">
              <w:rPr>
                <w:rFonts w:ascii="Palatino Linotype" w:hAnsi="Palatino Linotype" w:cs="Calibri"/>
                <w:color w:val="000000" w:themeColor="text1"/>
                <w:sz w:val="22"/>
                <w:szCs w:val="22"/>
              </w:rPr>
              <w:t>3</w:t>
            </w:r>
            <w:r w:rsidR="004F2708">
              <w:rPr>
                <w:rFonts w:ascii="Palatino Linotype" w:hAnsi="Palatino Linotype" w:cs="Calibri"/>
                <w:color w:val="000000" w:themeColor="text1"/>
                <w:sz w:val="22"/>
                <w:szCs w:val="22"/>
              </w:rPr>
              <w:t>2</w:t>
            </w:r>
          </w:p>
        </w:tc>
        <w:tc>
          <w:tcPr>
            <w:tcW w:w="985" w:type="dxa"/>
            <w:tcBorders>
              <w:left w:val="nil"/>
              <w:right w:val="nil"/>
            </w:tcBorders>
            <w:vAlign w:val="bottom"/>
          </w:tcPr>
          <w:p w14:paraId="1CB7D18A" w14:textId="426C74BC" w:rsidR="00F6572F" w:rsidRPr="00F6572F" w:rsidRDefault="00F6572F" w:rsidP="00F6572F">
            <w:pPr>
              <w:jc w:val="right"/>
              <w:rPr>
                <w:rFonts w:ascii="Palatino Linotype" w:hAnsi="Palatino Linotype" w:cs="Arial"/>
                <w:color w:val="000000" w:themeColor="text1"/>
                <w:sz w:val="22"/>
                <w:szCs w:val="22"/>
              </w:rPr>
            </w:pPr>
            <w:r w:rsidRPr="00F6572F">
              <w:rPr>
                <w:rFonts w:ascii="Palatino Linotype" w:hAnsi="Palatino Linotype" w:cs="Calibri"/>
                <w:color w:val="000000" w:themeColor="text1"/>
                <w:sz w:val="22"/>
                <w:szCs w:val="22"/>
              </w:rPr>
              <w:t>3</w:t>
            </w:r>
            <w:r w:rsidR="004F2708">
              <w:rPr>
                <w:rFonts w:ascii="Palatino Linotype" w:hAnsi="Palatino Linotype" w:cs="Calibri"/>
                <w:color w:val="000000" w:themeColor="text1"/>
                <w:sz w:val="22"/>
                <w:szCs w:val="22"/>
              </w:rPr>
              <w:t>2</w:t>
            </w:r>
          </w:p>
        </w:tc>
        <w:tc>
          <w:tcPr>
            <w:tcW w:w="925" w:type="dxa"/>
            <w:tcBorders>
              <w:left w:val="nil"/>
              <w:right w:val="nil"/>
            </w:tcBorders>
            <w:shd w:val="clear" w:color="auto" w:fill="auto"/>
            <w:noWrap/>
            <w:vAlign w:val="bottom"/>
          </w:tcPr>
          <w:p w14:paraId="52EE5B45" w14:textId="54971329" w:rsidR="00F6572F" w:rsidRPr="00F6572F" w:rsidRDefault="00F6572F" w:rsidP="00F6572F">
            <w:pPr>
              <w:jc w:val="right"/>
              <w:rPr>
                <w:rFonts w:ascii="Palatino Linotype" w:hAnsi="Palatino Linotype" w:cs="Arial"/>
                <w:color w:val="000000" w:themeColor="text1"/>
                <w:sz w:val="22"/>
                <w:szCs w:val="22"/>
              </w:rPr>
            </w:pPr>
            <w:r w:rsidRPr="00F6572F">
              <w:rPr>
                <w:rFonts w:ascii="Palatino Linotype" w:hAnsi="Palatino Linotype" w:cs="Calibri"/>
                <w:color w:val="000000" w:themeColor="text1"/>
                <w:sz w:val="22"/>
                <w:szCs w:val="22"/>
              </w:rPr>
              <w:t>3</w:t>
            </w:r>
            <w:r w:rsidR="004F2708">
              <w:rPr>
                <w:rFonts w:ascii="Palatino Linotype" w:hAnsi="Palatino Linotype" w:cs="Calibri"/>
                <w:color w:val="000000" w:themeColor="text1"/>
                <w:sz w:val="22"/>
                <w:szCs w:val="22"/>
              </w:rPr>
              <w:t>3</w:t>
            </w:r>
          </w:p>
        </w:tc>
        <w:tc>
          <w:tcPr>
            <w:tcW w:w="925" w:type="dxa"/>
            <w:tcBorders>
              <w:left w:val="nil"/>
              <w:right w:val="nil"/>
            </w:tcBorders>
            <w:shd w:val="clear" w:color="auto" w:fill="auto"/>
            <w:noWrap/>
            <w:vAlign w:val="bottom"/>
          </w:tcPr>
          <w:p w14:paraId="1D30527D" w14:textId="670B8511" w:rsidR="00F6572F" w:rsidRPr="00F6572F" w:rsidRDefault="00F6572F" w:rsidP="00F6572F">
            <w:pPr>
              <w:jc w:val="right"/>
              <w:rPr>
                <w:rFonts w:ascii="Palatino Linotype" w:hAnsi="Palatino Linotype" w:cs="Arial"/>
                <w:color w:val="000000" w:themeColor="text1"/>
                <w:sz w:val="22"/>
                <w:szCs w:val="22"/>
              </w:rPr>
            </w:pPr>
            <w:r w:rsidRPr="00F6572F">
              <w:rPr>
                <w:rFonts w:ascii="Palatino Linotype" w:hAnsi="Palatino Linotype" w:cs="Calibri"/>
                <w:color w:val="000000" w:themeColor="text1"/>
                <w:sz w:val="22"/>
                <w:szCs w:val="22"/>
              </w:rPr>
              <w:t>3</w:t>
            </w:r>
            <w:r w:rsidR="004F2708">
              <w:rPr>
                <w:rFonts w:ascii="Palatino Linotype" w:hAnsi="Palatino Linotype" w:cs="Calibri"/>
                <w:color w:val="000000" w:themeColor="text1"/>
                <w:sz w:val="22"/>
                <w:szCs w:val="22"/>
              </w:rPr>
              <w:t>3</w:t>
            </w:r>
          </w:p>
        </w:tc>
        <w:tc>
          <w:tcPr>
            <w:tcW w:w="925" w:type="dxa"/>
            <w:tcBorders>
              <w:left w:val="nil"/>
              <w:right w:val="nil"/>
            </w:tcBorders>
            <w:shd w:val="clear" w:color="auto" w:fill="auto"/>
            <w:noWrap/>
            <w:vAlign w:val="bottom"/>
          </w:tcPr>
          <w:p w14:paraId="61D958E1" w14:textId="5E1419F8" w:rsidR="00F6572F" w:rsidRPr="00F6572F" w:rsidRDefault="00F6572F" w:rsidP="00F6572F">
            <w:pPr>
              <w:jc w:val="right"/>
              <w:rPr>
                <w:rFonts w:ascii="Palatino Linotype" w:hAnsi="Palatino Linotype" w:cs="Arial"/>
                <w:color w:val="000000" w:themeColor="text1"/>
                <w:sz w:val="22"/>
                <w:szCs w:val="22"/>
              </w:rPr>
            </w:pPr>
            <w:r w:rsidRPr="00F6572F">
              <w:rPr>
                <w:rFonts w:ascii="Palatino Linotype" w:hAnsi="Palatino Linotype" w:cs="Calibri"/>
                <w:color w:val="000000" w:themeColor="text1"/>
                <w:sz w:val="22"/>
                <w:szCs w:val="22"/>
              </w:rPr>
              <w:t>3</w:t>
            </w:r>
            <w:r w:rsidR="004F2708">
              <w:rPr>
                <w:rFonts w:ascii="Palatino Linotype" w:hAnsi="Palatino Linotype" w:cs="Calibri"/>
                <w:color w:val="000000" w:themeColor="text1"/>
                <w:sz w:val="22"/>
                <w:szCs w:val="22"/>
              </w:rPr>
              <w:t>4</w:t>
            </w:r>
          </w:p>
        </w:tc>
      </w:tr>
      <w:tr w:rsidR="00F6572F" w:rsidRPr="00A422C0" w14:paraId="2D1DFF57" w14:textId="77777777" w:rsidTr="00353A4C">
        <w:trPr>
          <w:trHeight w:val="264"/>
        </w:trPr>
        <w:tc>
          <w:tcPr>
            <w:tcW w:w="4911" w:type="dxa"/>
            <w:tcBorders>
              <w:top w:val="nil"/>
              <w:left w:val="nil"/>
              <w:bottom w:val="single" w:sz="4" w:space="0" w:color="auto"/>
              <w:right w:val="nil"/>
            </w:tcBorders>
            <w:shd w:val="clear" w:color="auto" w:fill="auto"/>
            <w:noWrap/>
            <w:vAlign w:val="bottom"/>
          </w:tcPr>
          <w:p w14:paraId="58316D6B" w14:textId="77777777" w:rsidR="00F6572F" w:rsidRPr="00A422C0" w:rsidRDefault="00F6572F" w:rsidP="00F6572F">
            <w:pPr>
              <w:rPr>
                <w:rFonts w:ascii="Palatino Linotype" w:hAnsi="Palatino Linotype" w:cs="Arial"/>
                <w:color w:val="000000" w:themeColor="text1"/>
                <w:sz w:val="22"/>
                <w:szCs w:val="22"/>
              </w:rPr>
            </w:pPr>
            <w:r w:rsidRPr="00A422C0">
              <w:rPr>
                <w:rFonts w:ascii="Palatino Linotype" w:hAnsi="Palatino Linotype" w:cs="Arial"/>
                <w:color w:val="000000" w:themeColor="text1"/>
                <w:sz w:val="22"/>
                <w:szCs w:val="22"/>
              </w:rPr>
              <w:t>Net benefits (-cost) of TCI ($, mil.)</w:t>
            </w:r>
          </w:p>
        </w:tc>
        <w:tc>
          <w:tcPr>
            <w:tcW w:w="924" w:type="dxa"/>
            <w:tcBorders>
              <w:top w:val="nil"/>
              <w:left w:val="nil"/>
              <w:bottom w:val="single" w:sz="4" w:space="0" w:color="auto"/>
              <w:right w:val="nil"/>
            </w:tcBorders>
            <w:shd w:val="clear" w:color="auto" w:fill="auto"/>
            <w:noWrap/>
            <w:vAlign w:val="bottom"/>
          </w:tcPr>
          <w:p w14:paraId="7B3F769D" w14:textId="280F2652" w:rsidR="00F6572F" w:rsidRPr="00F6572F" w:rsidRDefault="00F6572F" w:rsidP="00F6572F">
            <w:pPr>
              <w:jc w:val="right"/>
              <w:rPr>
                <w:rFonts w:ascii="Palatino Linotype" w:hAnsi="Palatino Linotype" w:cs="Arial"/>
                <w:color w:val="000000" w:themeColor="text1"/>
                <w:sz w:val="22"/>
                <w:szCs w:val="22"/>
              </w:rPr>
            </w:pPr>
            <w:r w:rsidRPr="00F6572F">
              <w:rPr>
                <w:rFonts w:ascii="Palatino Linotype" w:hAnsi="Palatino Linotype" w:cs="Calibri"/>
                <w:color w:val="000000"/>
                <w:sz w:val="22"/>
                <w:szCs w:val="22"/>
              </w:rPr>
              <w:t>-1,0</w:t>
            </w:r>
            <w:r w:rsidR="004F2708">
              <w:rPr>
                <w:rFonts w:ascii="Palatino Linotype" w:hAnsi="Palatino Linotype" w:cs="Calibri"/>
                <w:color w:val="000000"/>
                <w:sz w:val="22"/>
                <w:szCs w:val="22"/>
              </w:rPr>
              <w:t>51</w:t>
            </w:r>
          </w:p>
        </w:tc>
        <w:tc>
          <w:tcPr>
            <w:tcW w:w="985" w:type="dxa"/>
            <w:tcBorders>
              <w:top w:val="nil"/>
              <w:left w:val="nil"/>
              <w:bottom w:val="single" w:sz="4" w:space="0" w:color="auto"/>
              <w:right w:val="nil"/>
            </w:tcBorders>
            <w:vAlign w:val="bottom"/>
          </w:tcPr>
          <w:p w14:paraId="4CB64F95" w14:textId="2749AEC1" w:rsidR="00F6572F" w:rsidRPr="00F6572F" w:rsidRDefault="00F6572F" w:rsidP="00F6572F">
            <w:pPr>
              <w:jc w:val="right"/>
              <w:rPr>
                <w:rFonts w:ascii="Palatino Linotype" w:hAnsi="Palatino Linotype" w:cs="Arial"/>
                <w:color w:val="000000" w:themeColor="text1"/>
                <w:sz w:val="22"/>
                <w:szCs w:val="22"/>
              </w:rPr>
            </w:pPr>
            <w:r w:rsidRPr="00F6572F">
              <w:rPr>
                <w:rFonts w:ascii="Palatino Linotype" w:hAnsi="Palatino Linotype" w:cs="Calibri"/>
                <w:color w:val="000000"/>
                <w:sz w:val="22"/>
                <w:szCs w:val="22"/>
              </w:rPr>
              <w:t>-1,03</w:t>
            </w:r>
            <w:r w:rsidR="004F2708">
              <w:rPr>
                <w:rFonts w:ascii="Palatino Linotype" w:hAnsi="Palatino Linotype" w:cs="Calibri"/>
                <w:color w:val="000000"/>
                <w:sz w:val="22"/>
                <w:szCs w:val="22"/>
              </w:rPr>
              <w:t>6</w:t>
            </w:r>
          </w:p>
        </w:tc>
        <w:tc>
          <w:tcPr>
            <w:tcW w:w="925" w:type="dxa"/>
            <w:tcBorders>
              <w:top w:val="nil"/>
              <w:left w:val="nil"/>
              <w:bottom w:val="single" w:sz="4" w:space="0" w:color="auto"/>
              <w:right w:val="nil"/>
            </w:tcBorders>
            <w:shd w:val="clear" w:color="auto" w:fill="auto"/>
            <w:noWrap/>
            <w:vAlign w:val="bottom"/>
          </w:tcPr>
          <w:p w14:paraId="0917EC5C" w14:textId="3A287121" w:rsidR="00F6572F" w:rsidRPr="00F6572F" w:rsidRDefault="00F6572F" w:rsidP="00F6572F">
            <w:pPr>
              <w:jc w:val="right"/>
              <w:rPr>
                <w:rFonts w:ascii="Palatino Linotype" w:hAnsi="Palatino Linotype" w:cs="Arial"/>
                <w:color w:val="000000" w:themeColor="text1"/>
                <w:sz w:val="22"/>
                <w:szCs w:val="22"/>
              </w:rPr>
            </w:pPr>
            <w:r w:rsidRPr="00F6572F">
              <w:rPr>
                <w:rFonts w:ascii="Palatino Linotype" w:hAnsi="Palatino Linotype" w:cs="Calibri"/>
                <w:color w:val="000000"/>
                <w:sz w:val="22"/>
                <w:szCs w:val="22"/>
              </w:rPr>
              <w:t>-1,01</w:t>
            </w:r>
            <w:r w:rsidR="004F2708">
              <w:rPr>
                <w:rFonts w:ascii="Palatino Linotype" w:hAnsi="Palatino Linotype" w:cs="Calibri"/>
                <w:color w:val="000000"/>
                <w:sz w:val="22"/>
                <w:szCs w:val="22"/>
              </w:rPr>
              <w:t>9</w:t>
            </w:r>
          </w:p>
        </w:tc>
        <w:tc>
          <w:tcPr>
            <w:tcW w:w="925" w:type="dxa"/>
            <w:tcBorders>
              <w:top w:val="nil"/>
              <w:left w:val="nil"/>
              <w:bottom w:val="single" w:sz="4" w:space="0" w:color="auto"/>
              <w:right w:val="nil"/>
            </w:tcBorders>
            <w:shd w:val="clear" w:color="auto" w:fill="auto"/>
            <w:noWrap/>
            <w:vAlign w:val="bottom"/>
          </w:tcPr>
          <w:p w14:paraId="75D3481B" w14:textId="73B4BDDD" w:rsidR="00F6572F" w:rsidRPr="00F6572F" w:rsidRDefault="00F6572F" w:rsidP="00F6572F">
            <w:pPr>
              <w:jc w:val="right"/>
              <w:rPr>
                <w:rFonts w:ascii="Palatino Linotype" w:hAnsi="Palatino Linotype" w:cs="Arial"/>
                <w:color w:val="000000" w:themeColor="text1"/>
                <w:sz w:val="22"/>
                <w:szCs w:val="22"/>
              </w:rPr>
            </w:pPr>
            <w:r w:rsidRPr="00F6572F">
              <w:rPr>
                <w:rFonts w:ascii="Palatino Linotype" w:hAnsi="Palatino Linotype" w:cs="Calibri"/>
                <w:color w:val="000000"/>
                <w:sz w:val="22"/>
                <w:szCs w:val="22"/>
              </w:rPr>
              <w:t>-</w:t>
            </w:r>
            <w:r w:rsidR="004F2708">
              <w:rPr>
                <w:rFonts w:ascii="Palatino Linotype" w:hAnsi="Palatino Linotype" w:cs="Calibri"/>
                <w:color w:val="000000"/>
                <w:sz w:val="22"/>
                <w:szCs w:val="22"/>
              </w:rPr>
              <w:t>1,002</w:t>
            </w:r>
          </w:p>
        </w:tc>
        <w:tc>
          <w:tcPr>
            <w:tcW w:w="925" w:type="dxa"/>
            <w:tcBorders>
              <w:top w:val="nil"/>
              <w:left w:val="nil"/>
              <w:bottom w:val="single" w:sz="4" w:space="0" w:color="auto"/>
              <w:right w:val="nil"/>
            </w:tcBorders>
            <w:shd w:val="clear" w:color="auto" w:fill="auto"/>
            <w:noWrap/>
            <w:vAlign w:val="bottom"/>
          </w:tcPr>
          <w:p w14:paraId="458226F9" w14:textId="2FD7A493" w:rsidR="00F6572F" w:rsidRPr="00F6572F" w:rsidRDefault="00F6572F" w:rsidP="00F6572F">
            <w:pPr>
              <w:jc w:val="right"/>
              <w:rPr>
                <w:rFonts w:ascii="Palatino Linotype" w:hAnsi="Palatino Linotype" w:cs="Arial"/>
                <w:color w:val="000000" w:themeColor="text1"/>
                <w:sz w:val="22"/>
                <w:szCs w:val="22"/>
              </w:rPr>
            </w:pPr>
            <w:r w:rsidRPr="00F6572F">
              <w:rPr>
                <w:rFonts w:ascii="Palatino Linotype" w:hAnsi="Palatino Linotype" w:cs="Calibri"/>
                <w:color w:val="000000"/>
                <w:sz w:val="22"/>
                <w:szCs w:val="22"/>
              </w:rPr>
              <w:t>-9</w:t>
            </w:r>
            <w:r w:rsidR="004F2708">
              <w:rPr>
                <w:rFonts w:ascii="Palatino Linotype" w:hAnsi="Palatino Linotype" w:cs="Calibri"/>
                <w:color w:val="000000"/>
                <w:sz w:val="22"/>
                <w:szCs w:val="22"/>
              </w:rPr>
              <w:t>83</w:t>
            </w:r>
          </w:p>
        </w:tc>
      </w:tr>
    </w:tbl>
    <w:p w14:paraId="2874F520" w14:textId="056E28BF" w:rsidR="00911FEB" w:rsidRDefault="00911FEB" w:rsidP="008C62B7"/>
    <w:p w14:paraId="7D79732B" w14:textId="6292F4E3" w:rsidR="00D63C81" w:rsidRDefault="00A3489F" w:rsidP="000B2682">
      <w:pPr>
        <w:pStyle w:val="Heading1"/>
        <w:rPr>
          <w:rFonts w:ascii="Palatino Linotype" w:hAnsi="Palatino Linotype"/>
          <w:b/>
          <w:noProof/>
          <w:sz w:val="32"/>
          <w:szCs w:val="32"/>
        </w:rPr>
      </w:pPr>
      <w:bookmarkStart w:id="22" w:name="_Toc55394589"/>
      <w:r w:rsidRPr="00262B61">
        <w:rPr>
          <w:rFonts w:ascii="Palatino Linotype" w:hAnsi="Palatino Linotype"/>
          <w:b/>
          <w:noProof/>
          <w:sz w:val="32"/>
          <w:szCs w:val="32"/>
        </w:rPr>
        <w:t>Conclusion</w:t>
      </w:r>
      <w:bookmarkEnd w:id="22"/>
      <w:r w:rsidR="00C47212" w:rsidRPr="00262B61">
        <w:rPr>
          <w:rFonts w:ascii="Palatino Linotype" w:hAnsi="Palatino Linotype"/>
          <w:b/>
          <w:noProof/>
          <w:sz w:val="32"/>
          <w:szCs w:val="32"/>
        </w:rPr>
        <w:t xml:space="preserve"> </w:t>
      </w:r>
    </w:p>
    <w:p w14:paraId="3AC99230" w14:textId="77777777" w:rsidR="00CD2C37" w:rsidRPr="00CD2C37" w:rsidRDefault="00CD2C37" w:rsidP="00CD2C37"/>
    <w:p w14:paraId="456E5920" w14:textId="25CB9247" w:rsidR="002F0DF5" w:rsidRDefault="005345B8" w:rsidP="005345B8">
      <w:pPr>
        <w:spacing w:line="360" w:lineRule="auto"/>
        <w:ind w:firstLine="720"/>
        <w:jc w:val="both"/>
        <w:rPr>
          <w:rFonts w:ascii="Palatino Linotype" w:hAnsi="Palatino Linotype"/>
          <w:noProof/>
          <w:szCs w:val="24"/>
        </w:rPr>
      </w:pPr>
      <w:r>
        <w:rPr>
          <w:rFonts w:ascii="Palatino Linotype" w:hAnsi="Palatino Linotype"/>
        </w:rPr>
        <w:t>C</w:t>
      </w:r>
      <w:r w:rsidR="00973496" w:rsidRPr="00973496">
        <w:rPr>
          <w:rFonts w:ascii="Palatino Linotype" w:hAnsi="Palatino Linotype"/>
        </w:rPr>
        <w:t xml:space="preserve">ap and trade schemes </w:t>
      </w:r>
      <w:r w:rsidR="00A3489F" w:rsidRPr="00973496">
        <w:rPr>
          <w:rFonts w:ascii="Palatino Linotype" w:hAnsi="Palatino Linotype"/>
        </w:rPr>
        <w:t xml:space="preserve">are a </w:t>
      </w:r>
      <w:r w:rsidR="0023014C">
        <w:rPr>
          <w:rFonts w:ascii="Palatino Linotype" w:hAnsi="Palatino Linotype"/>
        </w:rPr>
        <w:t>problematical</w:t>
      </w:r>
      <w:r w:rsidR="0023014C" w:rsidRPr="00973496">
        <w:rPr>
          <w:rFonts w:ascii="Palatino Linotype" w:hAnsi="Palatino Linotype"/>
        </w:rPr>
        <w:t xml:space="preserve"> </w:t>
      </w:r>
      <w:r w:rsidR="00A3489F" w:rsidRPr="00973496">
        <w:rPr>
          <w:rFonts w:ascii="Palatino Linotype" w:hAnsi="Palatino Linotype"/>
        </w:rPr>
        <w:t>to</w:t>
      </w:r>
      <w:r w:rsidR="00973496" w:rsidRPr="00973496">
        <w:rPr>
          <w:rFonts w:ascii="Palatino Linotype" w:hAnsi="Palatino Linotype"/>
        </w:rPr>
        <w:t>ol to</w:t>
      </w:r>
      <w:r w:rsidR="00A3489F" w:rsidRPr="00973496">
        <w:rPr>
          <w:rFonts w:ascii="Palatino Linotype" w:hAnsi="Palatino Linotype"/>
        </w:rPr>
        <w:t xml:space="preserve"> address climate change, </w:t>
      </w:r>
      <w:r w:rsidR="00973496" w:rsidRPr="00973496">
        <w:rPr>
          <w:rFonts w:ascii="Palatino Linotype" w:hAnsi="Palatino Linotype"/>
        </w:rPr>
        <w:t>with consequential</w:t>
      </w:r>
      <w:r w:rsidR="00A3489F" w:rsidRPr="00973496">
        <w:rPr>
          <w:rFonts w:ascii="Palatino Linotype" w:hAnsi="Palatino Linotype"/>
        </w:rPr>
        <w:t xml:space="preserve"> costs</w:t>
      </w:r>
      <w:r w:rsidR="00973496" w:rsidRPr="00973496">
        <w:rPr>
          <w:rFonts w:ascii="Palatino Linotype" w:hAnsi="Palatino Linotype"/>
        </w:rPr>
        <w:t xml:space="preserve"> that directly </w:t>
      </w:r>
      <w:r w:rsidR="008B4A6E">
        <w:rPr>
          <w:rFonts w:ascii="Palatino Linotype" w:hAnsi="Palatino Linotype"/>
        </w:rPr>
        <w:t>impact</w:t>
      </w:r>
      <w:r w:rsidR="00973496" w:rsidRPr="00973496">
        <w:rPr>
          <w:rFonts w:ascii="Palatino Linotype" w:hAnsi="Palatino Linotype"/>
        </w:rPr>
        <w:t xml:space="preserve"> households</w:t>
      </w:r>
      <w:r w:rsidR="008B4A6E">
        <w:rPr>
          <w:rFonts w:ascii="Palatino Linotype" w:hAnsi="Palatino Linotype"/>
        </w:rPr>
        <w:t>’</w:t>
      </w:r>
      <w:r w:rsidR="00973496" w:rsidRPr="00973496">
        <w:rPr>
          <w:rFonts w:ascii="Palatino Linotype" w:hAnsi="Palatino Linotype"/>
        </w:rPr>
        <w:t xml:space="preserve"> disposable income. </w:t>
      </w:r>
      <w:r w:rsidR="00AF38EC">
        <w:rPr>
          <w:rFonts w:ascii="Palatino Linotype" w:hAnsi="Palatino Linotype"/>
          <w:noProof/>
          <w:szCs w:val="24"/>
        </w:rPr>
        <w:t>Virginia</w:t>
      </w:r>
      <w:r w:rsidR="008B4A6E">
        <w:rPr>
          <w:rFonts w:ascii="Palatino Linotype" w:hAnsi="Palatino Linotype"/>
          <w:noProof/>
          <w:szCs w:val="24"/>
        </w:rPr>
        <w:t>’s participation</w:t>
      </w:r>
      <w:r w:rsidR="00D63C81" w:rsidRPr="00B45B4B">
        <w:rPr>
          <w:rFonts w:ascii="Palatino Linotype" w:hAnsi="Palatino Linotype"/>
          <w:noProof/>
          <w:szCs w:val="24"/>
        </w:rPr>
        <w:t xml:space="preserve"> in TCI would confer benefits to the global community from the reduction </w:t>
      </w:r>
      <w:r w:rsidR="00D6634E">
        <w:rPr>
          <w:rFonts w:ascii="Palatino Linotype" w:hAnsi="Palatino Linotype"/>
          <w:noProof/>
          <w:szCs w:val="24"/>
        </w:rPr>
        <w:t xml:space="preserve">of </w:t>
      </w:r>
      <w:r w:rsidR="00D63C81" w:rsidRPr="00B45B4B">
        <w:rPr>
          <w:rFonts w:ascii="Palatino Linotype" w:hAnsi="Palatino Linotype"/>
          <w:noProof/>
          <w:szCs w:val="24"/>
        </w:rPr>
        <w:t xml:space="preserve">GHG emissions. </w:t>
      </w:r>
      <w:r w:rsidR="00490DBB">
        <w:rPr>
          <w:rFonts w:ascii="Palatino Linotype" w:hAnsi="Palatino Linotype"/>
          <w:noProof/>
          <w:szCs w:val="24"/>
        </w:rPr>
        <w:t xml:space="preserve">However, we suspect that such a large increase in the price of gasoline will force gasoline entering the state to be formulated with a larger amount of ethanol. If this were to happen, whichever state produces the ethanol could create enough emissions to offset the reduction in emissions in </w:t>
      </w:r>
      <w:r w:rsidR="00AF38EC">
        <w:rPr>
          <w:rFonts w:ascii="Palatino Linotype" w:hAnsi="Palatino Linotype"/>
          <w:noProof/>
          <w:szCs w:val="24"/>
        </w:rPr>
        <w:t>Virginia</w:t>
      </w:r>
      <w:r w:rsidR="00063782">
        <w:rPr>
          <w:rFonts w:ascii="Palatino Linotype" w:hAnsi="Palatino Linotype"/>
          <w:noProof/>
          <w:szCs w:val="24"/>
        </w:rPr>
        <w:t xml:space="preserve"> </w:t>
      </w:r>
      <w:r w:rsidR="00490DBB">
        <w:rPr>
          <w:rFonts w:ascii="Palatino Linotype" w:hAnsi="Palatino Linotype"/>
          <w:noProof/>
          <w:szCs w:val="24"/>
        </w:rPr>
        <w:t>or other TCI jurisdictions.</w:t>
      </w:r>
      <w:r w:rsidR="00D63C81" w:rsidRPr="00B45B4B">
        <w:rPr>
          <w:rFonts w:ascii="Palatino Linotype" w:hAnsi="Palatino Linotype"/>
          <w:noProof/>
          <w:szCs w:val="24"/>
        </w:rPr>
        <w:t xml:space="preserve"> </w:t>
      </w:r>
      <w:r w:rsidR="00B821E5">
        <w:rPr>
          <w:rFonts w:ascii="Palatino Linotype" w:hAnsi="Palatino Linotype"/>
          <w:noProof/>
          <w:szCs w:val="24"/>
        </w:rPr>
        <w:t xml:space="preserve">Also, </w:t>
      </w:r>
      <w:r w:rsidR="009F6BE4">
        <w:rPr>
          <w:rFonts w:ascii="Palatino Linotype" w:hAnsi="Palatino Linotype"/>
          <w:noProof/>
          <w:szCs w:val="24"/>
        </w:rPr>
        <w:t xml:space="preserve">many customers could be inclined to purchase motor fuels at a lower price across borders in neighboring states such as West Virginia, Kentucky, Tennessee, and North Carolina. </w:t>
      </w:r>
    </w:p>
    <w:p w14:paraId="0FEF14C0" w14:textId="01FCAD9A" w:rsidR="00D63C81" w:rsidRPr="0056653D" w:rsidRDefault="002F0DF5" w:rsidP="005345B8">
      <w:pPr>
        <w:spacing w:line="360" w:lineRule="auto"/>
        <w:ind w:firstLine="720"/>
        <w:jc w:val="both"/>
        <w:rPr>
          <w:rFonts w:ascii="Palatino Linotype" w:hAnsi="Palatino Linotype"/>
          <w:noProof/>
          <w:szCs w:val="24"/>
          <w:highlight w:val="yellow"/>
        </w:rPr>
      </w:pPr>
      <w:r>
        <w:rPr>
          <w:rFonts w:ascii="Palatino Linotype" w:hAnsi="Palatino Linotype"/>
        </w:rPr>
        <w:t>W</w:t>
      </w:r>
      <w:r w:rsidR="00D63C81">
        <w:rPr>
          <w:rFonts w:ascii="Palatino Linotype" w:hAnsi="Palatino Linotype"/>
        </w:rPr>
        <w:t>hil</w:t>
      </w:r>
      <w:r w:rsidR="00973496" w:rsidRPr="00973496">
        <w:rPr>
          <w:rFonts w:ascii="Palatino Linotype" w:hAnsi="Palatino Linotype"/>
        </w:rPr>
        <w:t>e transportation emissions represent a large portion of total emissions in the TCI region, a</w:t>
      </w:r>
      <w:r w:rsidR="00A3489F" w:rsidRPr="00973496">
        <w:rPr>
          <w:rFonts w:ascii="Palatino Linotype" w:hAnsi="Palatino Linotype"/>
        </w:rPr>
        <w:t xml:space="preserve">ny </w:t>
      </w:r>
      <w:r w:rsidR="00973496" w:rsidRPr="00973496">
        <w:rPr>
          <w:rFonts w:ascii="Palatino Linotype" w:hAnsi="Palatino Linotype"/>
        </w:rPr>
        <w:t>emissions cap on finished gasoline and on-road diesel</w:t>
      </w:r>
      <w:r w:rsidR="00A3489F" w:rsidRPr="00973496">
        <w:rPr>
          <w:rFonts w:ascii="Palatino Linotype" w:hAnsi="Palatino Linotype"/>
        </w:rPr>
        <w:t xml:space="preserve"> in </w:t>
      </w:r>
      <w:r w:rsidR="009600BA">
        <w:rPr>
          <w:rFonts w:ascii="Palatino Linotype" w:hAnsi="Palatino Linotype"/>
        </w:rPr>
        <w:t>Virginia and</w:t>
      </w:r>
      <w:r w:rsidR="00973496" w:rsidRPr="00973496">
        <w:rPr>
          <w:rFonts w:ascii="Palatino Linotype" w:hAnsi="Palatino Linotype"/>
        </w:rPr>
        <w:t xml:space="preserve"> other TCI jurisdictions </w:t>
      </w:r>
      <w:r w:rsidR="00A3489F" w:rsidRPr="00973496">
        <w:rPr>
          <w:rFonts w:ascii="Palatino Linotype" w:hAnsi="Palatino Linotype"/>
        </w:rPr>
        <w:t xml:space="preserve">would </w:t>
      </w:r>
      <w:r w:rsidR="00973496" w:rsidRPr="00973496">
        <w:rPr>
          <w:rFonts w:ascii="Palatino Linotype" w:hAnsi="Palatino Linotype"/>
        </w:rPr>
        <w:t>have unnoticeable</w:t>
      </w:r>
      <w:r w:rsidR="00A3489F" w:rsidRPr="00973496">
        <w:rPr>
          <w:rFonts w:ascii="Palatino Linotype" w:hAnsi="Palatino Linotype"/>
        </w:rPr>
        <w:t xml:space="preserve"> effect</w:t>
      </w:r>
      <w:r w:rsidR="00BD7AE4" w:rsidRPr="00973496">
        <w:rPr>
          <w:rFonts w:ascii="Palatino Linotype" w:hAnsi="Palatino Linotype"/>
        </w:rPr>
        <w:t>s</w:t>
      </w:r>
      <w:r w:rsidR="00A3489F" w:rsidRPr="00973496">
        <w:rPr>
          <w:rFonts w:ascii="Palatino Linotype" w:hAnsi="Palatino Linotype"/>
        </w:rPr>
        <w:t xml:space="preserve"> on global emissions.</w:t>
      </w:r>
      <w:r w:rsidR="00D63C81" w:rsidRPr="00D63C81">
        <w:rPr>
          <w:rFonts w:ascii="Palatino Linotype" w:hAnsi="Palatino Linotype"/>
          <w:noProof/>
          <w:szCs w:val="24"/>
        </w:rPr>
        <w:t xml:space="preserve"> </w:t>
      </w:r>
      <w:r w:rsidR="00D63C81">
        <w:rPr>
          <w:rFonts w:ascii="Palatino Linotype" w:hAnsi="Palatino Linotype"/>
          <w:noProof/>
          <w:szCs w:val="24"/>
        </w:rPr>
        <w:t>T</w:t>
      </w:r>
      <w:r w:rsidR="00D63C81" w:rsidRPr="00B45B4B">
        <w:rPr>
          <w:rFonts w:ascii="Palatino Linotype" w:hAnsi="Palatino Linotype"/>
          <w:noProof/>
          <w:szCs w:val="24"/>
        </w:rPr>
        <w:t xml:space="preserve">he </w:t>
      </w:r>
      <w:r w:rsidR="00AF38EC">
        <w:rPr>
          <w:rFonts w:ascii="Palatino Linotype" w:hAnsi="Palatino Linotype"/>
          <w:noProof/>
          <w:szCs w:val="24"/>
        </w:rPr>
        <w:t>Virginia</w:t>
      </w:r>
      <w:r w:rsidR="00063782">
        <w:rPr>
          <w:rFonts w:ascii="Palatino Linotype" w:hAnsi="Palatino Linotype"/>
          <w:noProof/>
          <w:szCs w:val="24"/>
        </w:rPr>
        <w:t xml:space="preserve"> </w:t>
      </w:r>
      <w:r w:rsidR="00D63C81" w:rsidRPr="00B45B4B">
        <w:rPr>
          <w:rFonts w:ascii="Palatino Linotype" w:hAnsi="Palatino Linotype"/>
          <w:noProof/>
          <w:szCs w:val="24"/>
        </w:rPr>
        <w:t>emissions subject to the prop</w:t>
      </w:r>
      <w:r w:rsidR="00D6634E">
        <w:rPr>
          <w:rFonts w:ascii="Palatino Linotype" w:hAnsi="Palatino Linotype"/>
          <w:noProof/>
          <w:szCs w:val="24"/>
        </w:rPr>
        <w:t>o</w:t>
      </w:r>
      <w:r w:rsidR="00D63C81" w:rsidRPr="00B45B4B">
        <w:rPr>
          <w:rFonts w:ascii="Palatino Linotype" w:hAnsi="Palatino Linotype"/>
          <w:noProof/>
          <w:szCs w:val="24"/>
        </w:rPr>
        <w:t>sed emissions caps are but a</w:t>
      </w:r>
      <w:r w:rsidR="009C1FDB">
        <w:rPr>
          <w:rFonts w:ascii="Palatino Linotype" w:hAnsi="Palatino Linotype"/>
          <w:noProof/>
          <w:szCs w:val="24"/>
        </w:rPr>
        <w:t xml:space="preserve"> small</w:t>
      </w:r>
      <w:r w:rsidR="00D63C81" w:rsidRPr="00B45B4B">
        <w:rPr>
          <w:rFonts w:ascii="Palatino Linotype" w:hAnsi="Palatino Linotype"/>
          <w:noProof/>
          <w:szCs w:val="24"/>
        </w:rPr>
        <w:t xml:space="preserve"> fraction of global emissions</w:t>
      </w:r>
      <w:r w:rsidR="00D63C81" w:rsidRPr="001C0DD9">
        <w:rPr>
          <w:rFonts w:ascii="Palatino Linotype" w:hAnsi="Palatino Linotype"/>
          <w:noProof/>
          <w:szCs w:val="24"/>
        </w:rPr>
        <w:t xml:space="preserve">.  Global GHG emissions were 50.9 gigatons of CO2E in </w:t>
      </w:r>
      <w:r w:rsidR="00D63C81" w:rsidRPr="00D902A0">
        <w:rPr>
          <w:rFonts w:ascii="Palatino Linotype" w:hAnsi="Palatino Linotype"/>
          <w:noProof/>
          <w:szCs w:val="24"/>
        </w:rPr>
        <w:t xml:space="preserve">2017, compared to </w:t>
      </w:r>
      <w:r w:rsidR="00AF38EC">
        <w:rPr>
          <w:rFonts w:ascii="Palatino Linotype" w:hAnsi="Palatino Linotype"/>
          <w:noProof/>
          <w:szCs w:val="24"/>
        </w:rPr>
        <w:lastRenderedPageBreak/>
        <w:t>Virginia</w:t>
      </w:r>
      <w:r w:rsidR="00063782">
        <w:rPr>
          <w:rFonts w:ascii="Palatino Linotype" w:hAnsi="Palatino Linotype"/>
          <w:noProof/>
          <w:szCs w:val="24"/>
        </w:rPr>
        <w:t xml:space="preserve"> </w:t>
      </w:r>
      <w:r w:rsidR="00D63C81" w:rsidRPr="00D902A0">
        <w:rPr>
          <w:rFonts w:ascii="Palatino Linotype" w:hAnsi="Palatino Linotype"/>
          <w:noProof/>
          <w:szCs w:val="24"/>
        </w:rPr>
        <w:t xml:space="preserve">emissions subjected to emissions caps under TCI of </w:t>
      </w:r>
      <w:r w:rsidR="00465F7B">
        <w:rPr>
          <w:rFonts w:ascii="Palatino Linotype" w:eastAsia="Calibri" w:hAnsi="Palatino Linotype"/>
        </w:rPr>
        <w:t>40.1 MMTCO</w:t>
      </w:r>
      <w:r w:rsidR="00D63C81">
        <w:rPr>
          <w:rFonts w:ascii="Palatino Linotype" w:eastAsia="Calibri" w:hAnsi="Palatino Linotype"/>
        </w:rPr>
        <w:t>2E</w:t>
      </w:r>
      <w:r w:rsidR="00D63C81" w:rsidRPr="00D63C81">
        <w:rPr>
          <w:rFonts w:ascii="Palatino Linotype" w:hAnsi="Palatino Linotype"/>
          <w:noProof/>
          <w:szCs w:val="24"/>
        </w:rPr>
        <w:t>.</w:t>
      </w:r>
      <w:r w:rsidR="00F7229F">
        <w:rPr>
          <w:rStyle w:val="FootnoteReference"/>
          <w:rFonts w:ascii="Palatino Linotype" w:hAnsi="Palatino Linotype"/>
          <w:noProof/>
          <w:szCs w:val="24"/>
        </w:rPr>
        <w:footnoteReference w:customMarkFollows="1" w:id="46"/>
        <w:t>45</w:t>
      </w:r>
      <w:r w:rsidR="00D63C81" w:rsidRPr="00D63C81">
        <w:rPr>
          <w:rFonts w:ascii="Palatino Linotype" w:hAnsi="Palatino Linotype"/>
          <w:noProof/>
          <w:szCs w:val="24"/>
        </w:rPr>
        <w:t xml:space="preserve"> Nonetheless, </w:t>
      </w:r>
      <w:r w:rsidR="00AD1A6C">
        <w:rPr>
          <w:rFonts w:ascii="Palatino Linotype" w:hAnsi="Palatino Linotype"/>
          <w:noProof/>
          <w:szCs w:val="24"/>
        </w:rPr>
        <w:t xml:space="preserve">under the DICE model </w:t>
      </w:r>
      <w:r w:rsidR="00D63C81" w:rsidRPr="00D63C81">
        <w:rPr>
          <w:rFonts w:ascii="Palatino Linotype" w:hAnsi="Palatino Linotype"/>
          <w:noProof/>
          <w:szCs w:val="24"/>
        </w:rPr>
        <w:t xml:space="preserve">the reduction in </w:t>
      </w:r>
      <w:r w:rsidR="00AF38EC">
        <w:rPr>
          <w:rFonts w:ascii="Palatino Linotype" w:hAnsi="Palatino Linotype"/>
          <w:noProof/>
          <w:szCs w:val="24"/>
        </w:rPr>
        <w:t xml:space="preserve">Virginia </w:t>
      </w:r>
      <w:r w:rsidR="00063782">
        <w:rPr>
          <w:rFonts w:ascii="Palatino Linotype" w:hAnsi="Palatino Linotype"/>
          <w:noProof/>
          <w:szCs w:val="24"/>
        </w:rPr>
        <w:t xml:space="preserve"> </w:t>
      </w:r>
      <w:r w:rsidR="00D63C81" w:rsidRPr="00D63C81">
        <w:rPr>
          <w:rFonts w:ascii="Palatino Linotype" w:hAnsi="Palatino Linotype"/>
          <w:noProof/>
          <w:szCs w:val="24"/>
        </w:rPr>
        <w:t>GHG emissions</w:t>
      </w:r>
      <w:r w:rsidR="00B821E5">
        <w:rPr>
          <w:rFonts w:ascii="Palatino Linotype" w:hAnsi="Palatino Linotype"/>
          <w:noProof/>
          <w:szCs w:val="24"/>
        </w:rPr>
        <w:t xml:space="preserve"> and other TCI </w:t>
      </w:r>
      <w:r w:rsidR="00D6634E">
        <w:rPr>
          <w:rFonts w:ascii="Palatino Linotype" w:hAnsi="Palatino Linotype"/>
          <w:noProof/>
          <w:szCs w:val="24"/>
        </w:rPr>
        <w:t>jurisdictions</w:t>
      </w:r>
      <w:r w:rsidR="00D6634E" w:rsidRPr="00D63C81">
        <w:rPr>
          <w:rFonts w:ascii="Palatino Linotype" w:hAnsi="Palatino Linotype"/>
          <w:noProof/>
          <w:szCs w:val="24"/>
        </w:rPr>
        <w:t xml:space="preserve"> </w:t>
      </w:r>
      <w:r w:rsidR="00D63C81" w:rsidRPr="00D63C81">
        <w:rPr>
          <w:rFonts w:ascii="Palatino Linotype" w:hAnsi="Palatino Linotype"/>
          <w:noProof/>
          <w:szCs w:val="24"/>
        </w:rPr>
        <w:t xml:space="preserve">would provide an economic benefit against the baseline case of no emissions reduction.         </w:t>
      </w:r>
    </w:p>
    <w:p w14:paraId="4A8E235C" w14:textId="4036F3B1" w:rsidR="00F329C5" w:rsidRPr="005538D1" w:rsidRDefault="00A3489F" w:rsidP="002751A4">
      <w:pPr>
        <w:spacing w:line="360" w:lineRule="auto"/>
        <w:ind w:firstLine="720"/>
        <w:jc w:val="both"/>
        <w:rPr>
          <w:rFonts w:ascii="Palatino Linotype" w:hAnsi="Palatino Linotype"/>
        </w:rPr>
      </w:pPr>
      <w:r w:rsidRPr="00973496">
        <w:rPr>
          <w:rFonts w:ascii="Palatino Linotype" w:hAnsi="Palatino Linotype"/>
        </w:rPr>
        <w:t xml:space="preserve">  </w:t>
      </w:r>
      <w:r w:rsidR="009600BA">
        <w:rPr>
          <w:rFonts w:ascii="Palatino Linotype" w:hAnsi="Palatino Linotype"/>
        </w:rPr>
        <w:t>Virginia GHG</w:t>
      </w:r>
      <w:r w:rsidRPr="005538D1">
        <w:rPr>
          <w:rFonts w:ascii="Palatino Linotype" w:hAnsi="Palatino Linotype"/>
        </w:rPr>
        <w:t xml:space="preserve"> emissions </w:t>
      </w:r>
      <w:r w:rsidR="00131DAB" w:rsidRPr="005538D1">
        <w:rPr>
          <w:rFonts w:ascii="Palatino Linotype" w:hAnsi="Palatino Linotype"/>
        </w:rPr>
        <w:t xml:space="preserve">subject to the proposed carbon taxes </w:t>
      </w:r>
      <w:r w:rsidRPr="005538D1">
        <w:rPr>
          <w:rFonts w:ascii="Palatino Linotype" w:hAnsi="Palatino Linotype"/>
        </w:rPr>
        <w:t>are only 0.</w:t>
      </w:r>
      <w:r w:rsidR="005538D1" w:rsidRPr="005538D1">
        <w:rPr>
          <w:rFonts w:ascii="Palatino Linotype" w:hAnsi="Palatino Linotype"/>
        </w:rPr>
        <w:t>0</w:t>
      </w:r>
      <w:r w:rsidR="00465F7B">
        <w:rPr>
          <w:rFonts w:ascii="Palatino Linotype" w:hAnsi="Palatino Linotype"/>
        </w:rPr>
        <w:t>8</w:t>
      </w:r>
      <w:r w:rsidRPr="005538D1">
        <w:rPr>
          <w:rFonts w:ascii="Palatino Linotype" w:hAnsi="Palatino Linotype"/>
        </w:rPr>
        <w:t xml:space="preserve"> percent of global GHG emissions, which grew at a rate of 1.2 percent between 2016 and 2017</w:t>
      </w:r>
      <w:r w:rsidR="00131DAB" w:rsidRPr="005538D1">
        <w:rPr>
          <w:rFonts w:ascii="Palatino Linotype" w:hAnsi="Palatino Linotype"/>
        </w:rPr>
        <w:t>.</w:t>
      </w:r>
      <w:r w:rsidR="00AD1A6C">
        <w:rPr>
          <w:rFonts w:ascii="Palatino Linotype" w:hAnsi="Palatino Linotype"/>
        </w:rPr>
        <w:t xml:space="preserve"> A reduction of Virginia emissions would result in 0.0001 degrees Centigrade reduction in global warming.</w:t>
      </w:r>
      <w:r w:rsidR="00F7229F">
        <w:rPr>
          <w:rStyle w:val="FootnoteReference"/>
          <w:rFonts w:ascii="Palatino Linotype" w:hAnsi="Palatino Linotype"/>
        </w:rPr>
        <w:footnoteReference w:customMarkFollows="1" w:id="47"/>
        <w:t>46</w:t>
      </w:r>
    </w:p>
    <w:p w14:paraId="49EF6FFD" w14:textId="60721595" w:rsidR="00F329C5" w:rsidRPr="005538D1" w:rsidRDefault="005538D1" w:rsidP="002751A4">
      <w:pPr>
        <w:spacing w:line="360" w:lineRule="auto"/>
        <w:ind w:firstLine="720"/>
        <w:jc w:val="both"/>
        <w:rPr>
          <w:rFonts w:ascii="Palatino Linotype" w:hAnsi="Palatino Linotype"/>
        </w:rPr>
      </w:pPr>
      <w:r w:rsidRPr="005538D1">
        <w:rPr>
          <w:rFonts w:ascii="Palatino Linotype" w:hAnsi="Palatino Linotype"/>
        </w:rPr>
        <w:t>T</w:t>
      </w:r>
      <w:r w:rsidR="00A3489F" w:rsidRPr="005538D1">
        <w:rPr>
          <w:rFonts w:ascii="Palatino Linotype" w:hAnsi="Palatino Linotype"/>
        </w:rPr>
        <w:t xml:space="preserve">he </w:t>
      </w:r>
      <w:r w:rsidR="009600BA">
        <w:rPr>
          <w:rFonts w:ascii="Palatino Linotype" w:hAnsi="Palatino Linotype"/>
        </w:rPr>
        <w:t>Virginia economy</w:t>
      </w:r>
      <w:r w:rsidR="00A3489F" w:rsidRPr="005538D1">
        <w:rPr>
          <w:rFonts w:ascii="Palatino Linotype" w:hAnsi="Palatino Linotype"/>
        </w:rPr>
        <w:t xml:space="preserve"> would suffer under the proposed</w:t>
      </w:r>
      <w:r w:rsidRPr="005538D1">
        <w:rPr>
          <w:rFonts w:ascii="Palatino Linotype" w:hAnsi="Palatino Linotype"/>
        </w:rPr>
        <w:t xml:space="preserve"> emissions cap scenarios</w:t>
      </w:r>
      <w:r w:rsidR="00A3489F" w:rsidRPr="005538D1">
        <w:rPr>
          <w:rFonts w:ascii="Palatino Linotype" w:hAnsi="Palatino Linotype"/>
        </w:rPr>
        <w:t xml:space="preserve">.  </w:t>
      </w:r>
      <w:r w:rsidRPr="005538D1">
        <w:rPr>
          <w:rFonts w:ascii="Palatino Linotype" w:hAnsi="Palatino Linotype"/>
        </w:rPr>
        <w:t xml:space="preserve">An emissions cap, while providing negligible benefits, </w:t>
      </w:r>
      <w:r w:rsidR="00A3489F" w:rsidRPr="005538D1">
        <w:rPr>
          <w:rFonts w:ascii="Palatino Linotype" w:hAnsi="Palatino Linotype"/>
        </w:rPr>
        <w:t xml:space="preserve">would cost thousands of jobs, </w:t>
      </w:r>
      <w:r w:rsidRPr="005538D1">
        <w:rPr>
          <w:rFonts w:ascii="Palatino Linotype" w:hAnsi="Palatino Linotype"/>
        </w:rPr>
        <w:t xml:space="preserve">millions in </w:t>
      </w:r>
      <w:r w:rsidR="00A3489F" w:rsidRPr="005538D1">
        <w:rPr>
          <w:rFonts w:ascii="Palatino Linotype" w:hAnsi="Palatino Linotype"/>
        </w:rPr>
        <w:t xml:space="preserve">investment, and </w:t>
      </w:r>
      <w:r w:rsidRPr="005538D1">
        <w:rPr>
          <w:rFonts w:ascii="Palatino Linotype" w:hAnsi="Palatino Linotype"/>
        </w:rPr>
        <w:t xml:space="preserve">millions </w:t>
      </w:r>
      <w:r w:rsidR="00A3489F" w:rsidRPr="005538D1">
        <w:rPr>
          <w:rFonts w:ascii="Palatino Linotype" w:hAnsi="Palatino Linotype"/>
        </w:rPr>
        <w:t>of dollars in lower income</w:t>
      </w:r>
      <w:r w:rsidR="009E7FF9" w:rsidRPr="005538D1">
        <w:rPr>
          <w:rFonts w:ascii="Palatino Linotype" w:hAnsi="Palatino Linotype"/>
        </w:rPr>
        <w:t>s</w:t>
      </w:r>
      <w:r w:rsidR="00A3489F" w:rsidRPr="005538D1">
        <w:rPr>
          <w:rFonts w:ascii="Palatino Linotype" w:hAnsi="Palatino Linotype"/>
        </w:rPr>
        <w:t xml:space="preserve"> </w:t>
      </w:r>
      <w:r w:rsidR="00CC6BDB" w:rsidRPr="005538D1">
        <w:rPr>
          <w:rFonts w:ascii="Palatino Linotype" w:hAnsi="Palatino Linotype"/>
        </w:rPr>
        <w:t xml:space="preserve">and real GDP </w:t>
      </w:r>
      <w:r w:rsidR="00A3489F" w:rsidRPr="005538D1">
        <w:rPr>
          <w:rFonts w:ascii="Palatino Linotype" w:hAnsi="Palatino Linotype"/>
        </w:rPr>
        <w:t xml:space="preserve">by 2026.  </w:t>
      </w:r>
    </w:p>
    <w:p w14:paraId="31698D3A" w14:textId="559F3C4F" w:rsidR="005538D1" w:rsidRPr="003F7D17" w:rsidRDefault="00324C5B" w:rsidP="003F7D17">
      <w:pPr>
        <w:spacing w:line="360" w:lineRule="auto"/>
        <w:ind w:firstLine="720"/>
        <w:jc w:val="both"/>
        <w:rPr>
          <w:rFonts w:ascii="Palatino Linotype" w:hAnsi="Palatino Linotype"/>
        </w:rPr>
      </w:pPr>
      <w:r w:rsidRPr="005538D1">
        <w:rPr>
          <w:rFonts w:ascii="Palatino Linotype" w:hAnsi="Palatino Linotype"/>
        </w:rPr>
        <w:t xml:space="preserve">The costs of </w:t>
      </w:r>
      <w:r w:rsidR="009600BA">
        <w:rPr>
          <w:rFonts w:ascii="Palatino Linotype" w:hAnsi="Palatino Linotype"/>
        </w:rPr>
        <w:t>Virginia partaking</w:t>
      </w:r>
      <w:r w:rsidR="005538D1" w:rsidRPr="005538D1">
        <w:rPr>
          <w:rFonts w:ascii="Palatino Linotype" w:hAnsi="Palatino Linotype"/>
        </w:rPr>
        <w:t xml:space="preserve"> in the TCI</w:t>
      </w:r>
      <w:r w:rsidRPr="005538D1">
        <w:rPr>
          <w:rFonts w:ascii="Palatino Linotype" w:hAnsi="Palatino Linotype"/>
        </w:rPr>
        <w:t xml:space="preserve"> </w:t>
      </w:r>
      <w:r w:rsidR="00CC6BDB" w:rsidRPr="005538D1">
        <w:rPr>
          <w:rFonts w:ascii="Palatino Linotype" w:hAnsi="Palatino Linotype"/>
        </w:rPr>
        <w:t xml:space="preserve">far </w:t>
      </w:r>
      <w:r w:rsidRPr="005538D1">
        <w:rPr>
          <w:rFonts w:ascii="Palatino Linotype" w:hAnsi="Palatino Linotype"/>
        </w:rPr>
        <w:t xml:space="preserve">outweigh the benefits.  Moreover, </w:t>
      </w:r>
      <w:r w:rsidR="005538D1" w:rsidRPr="005538D1">
        <w:rPr>
          <w:rFonts w:ascii="Palatino Linotype" w:hAnsi="Palatino Linotype"/>
        </w:rPr>
        <w:t xml:space="preserve">citizens of </w:t>
      </w:r>
      <w:r w:rsidR="009600BA">
        <w:rPr>
          <w:rFonts w:ascii="Palatino Linotype" w:hAnsi="Palatino Linotype"/>
        </w:rPr>
        <w:t>Virginia along</w:t>
      </w:r>
      <w:r w:rsidR="008E099C">
        <w:rPr>
          <w:rFonts w:ascii="Palatino Linotype" w:hAnsi="Palatino Linotype"/>
        </w:rPr>
        <w:t xml:space="preserve"> with </w:t>
      </w:r>
      <w:r w:rsidR="005538D1" w:rsidRPr="005538D1">
        <w:rPr>
          <w:rFonts w:ascii="Palatino Linotype" w:hAnsi="Palatino Linotype"/>
        </w:rPr>
        <w:t>other</w:t>
      </w:r>
      <w:r w:rsidR="008E099C">
        <w:rPr>
          <w:rFonts w:ascii="Palatino Linotype" w:hAnsi="Palatino Linotype"/>
        </w:rPr>
        <w:t xml:space="preserve"> TCI</w:t>
      </w:r>
      <w:r w:rsidR="005538D1" w:rsidRPr="005538D1">
        <w:rPr>
          <w:rFonts w:ascii="Palatino Linotype" w:hAnsi="Palatino Linotype"/>
        </w:rPr>
        <w:t xml:space="preserve"> jurisdictions</w:t>
      </w:r>
      <w:r w:rsidR="008E099C">
        <w:rPr>
          <w:rFonts w:ascii="Palatino Linotype" w:hAnsi="Palatino Linotype"/>
        </w:rPr>
        <w:t xml:space="preserve"> </w:t>
      </w:r>
      <w:r w:rsidR="00A3489F" w:rsidRPr="005538D1">
        <w:rPr>
          <w:rFonts w:ascii="Palatino Linotype" w:hAnsi="Palatino Linotype"/>
        </w:rPr>
        <w:t xml:space="preserve">would </w:t>
      </w:r>
      <w:r w:rsidR="005538D1" w:rsidRPr="005538D1">
        <w:rPr>
          <w:rFonts w:ascii="Palatino Linotype" w:hAnsi="Palatino Linotype"/>
        </w:rPr>
        <w:t>face the burden of</w:t>
      </w:r>
      <w:r w:rsidR="00A3489F" w:rsidRPr="005538D1">
        <w:rPr>
          <w:rFonts w:ascii="Palatino Linotype" w:hAnsi="Palatino Linotype"/>
        </w:rPr>
        <w:t xml:space="preserve"> the cost</w:t>
      </w:r>
      <w:r w:rsidRPr="005538D1">
        <w:rPr>
          <w:rFonts w:ascii="Palatino Linotype" w:hAnsi="Palatino Linotype"/>
        </w:rPr>
        <w:t>s, while all citizens of the world share</w:t>
      </w:r>
      <w:r w:rsidR="005538D1" w:rsidRPr="005538D1">
        <w:rPr>
          <w:rFonts w:ascii="Palatino Linotype" w:hAnsi="Palatino Linotype"/>
        </w:rPr>
        <w:t xml:space="preserve"> the small</w:t>
      </w:r>
      <w:r w:rsidRPr="005538D1">
        <w:rPr>
          <w:rFonts w:ascii="Palatino Linotype" w:hAnsi="Palatino Linotype"/>
        </w:rPr>
        <w:t xml:space="preserve"> benefits. </w:t>
      </w:r>
      <w:r w:rsidR="00670A41" w:rsidRPr="005538D1">
        <w:rPr>
          <w:rFonts w:ascii="Palatino Linotype" w:hAnsi="Palatino Linotype"/>
        </w:rPr>
        <w:t xml:space="preserve">  </w:t>
      </w:r>
      <w:bookmarkStart w:id="23" w:name="_Toc7183790"/>
    </w:p>
    <w:p w14:paraId="6CA0A168" w14:textId="77777777" w:rsidR="005538D1" w:rsidRPr="00D63C81" w:rsidRDefault="005538D1" w:rsidP="00D63C81">
      <w:pPr>
        <w:rPr>
          <w:highlight w:val="yellow"/>
        </w:rPr>
      </w:pPr>
    </w:p>
    <w:p w14:paraId="7E21F8E7" w14:textId="7EB41FA6" w:rsidR="00D369F7" w:rsidRPr="009A5F85" w:rsidRDefault="00A3489F" w:rsidP="00A41A03">
      <w:pPr>
        <w:pStyle w:val="Heading1"/>
        <w:rPr>
          <w:rFonts w:ascii="Palatino Linotype" w:hAnsi="Palatino Linotype"/>
          <w:b/>
          <w:noProof/>
          <w:sz w:val="32"/>
          <w:szCs w:val="32"/>
        </w:rPr>
      </w:pPr>
      <w:bookmarkStart w:id="24" w:name="_Toc55394590"/>
      <w:r w:rsidRPr="009A5F85">
        <w:rPr>
          <w:rFonts w:ascii="Palatino Linotype" w:hAnsi="Palatino Linotype"/>
          <w:b/>
          <w:noProof/>
          <w:sz w:val="32"/>
          <w:szCs w:val="32"/>
        </w:rPr>
        <w:t>Appendix</w:t>
      </w:r>
      <w:bookmarkEnd w:id="23"/>
      <w:bookmarkEnd w:id="24"/>
    </w:p>
    <w:p w14:paraId="7856C00C" w14:textId="77777777" w:rsidR="00D369F7" w:rsidRPr="0056653D" w:rsidRDefault="00D369F7" w:rsidP="00A41A03">
      <w:pPr>
        <w:pStyle w:val="Heading1"/>
        <w:rPr>
          <w:rFonts w:ascii="Palatino Linotype" w:hAnsi="Palatino Linotype"/>
          <w:b/>
          <w:noProof/>
          <w:sz w:val="32"/>
          <w:szCs w:val="32"/>
          <w:highlight w:val="yellow"/>
        </w:rPr>
      </w:pPr>
    </w:p>
    <w:p w14:paraId="037AB90E" w14:textId="13130BFF" w:rsidR="00E5373E" w:rsidRPr="00D369F7" w:rsidRDefault="00E5373E" w:rsidP="005538D1">
      <w:pPr>
        <w:spacing w:line="360" w:lineRule="auto"/>
        <w:ind w:firstLine="720"/>
        <w:jc w:val="both"/>
        <w:rPr>
          <w:rFonts w:ascii="Palatino Linotype" w:hAnsi="Palatino Linotype"/>
          <w:noProof/>
          <w:szCs w:val="24"/>
        </w:rPr>
      </w:pPr>
      <w:r w:rsidRPr="00D369F7">
        <w:rPr>
          <w:rFonts w:ascii="Palatino Linotype" w:hAnsi="Palatino Linotype"/>
          <w:noProof/>
          <w:szCs w:val="24"/>
        </w:rPr>
        <w:t>BHI</w:t>
      </w:r>
      <w:r>
        <w:rPr>
          <w:rFonts w:ascii="Palatino Linotype" w:hAnsi="Palatino Linotype"/>
          <w:noProof/>
          <w:szCs w:val="24"/>
        </w:rPr>
        <w:t xml:space="preserve"> use</w:t>
      </w:r>
      <w:r w:rsidR="0030439E">
        <w:rPr>
          <w:rFonts w:ascii="Palatino Linotype" w:hAnsi="Palatino Linotype"/>
          <w:noProof/>
          <w:szCs w:val="24"/>
        </w:rPr>
        <w:t>d</w:t>
      </w:r>
      <w:r w:rsidRPr="00D369F7">
        <w:rPr>
          <w:rFonts w:ascii="Palatino Linotype" w:hAnsi="Palatino Linotype"/>
          <w:noProof/>
          <w:szCs w:val="24"/>
        </w:rPr>
        <w:t xml:space="preserve"> its </w:t>
      </w:r>
      <w:r>
        <w:rPr>
          <w:rFonts w:ascii="Palatino Linotype" w:hAnsi="Palatino Linotype"/>
          <w:noProof/>
          <w:szCs w:val="24"/>
        </w:rPr>
        <w:t xml:space="preserve">multisector </w:t>
      </w:r>
      <w:r w:rsidRPr="00D369F7">
        <w:rPr>
          <w:rFonts w:ascii="Palatino Linotype" w:hAnsi="Palatino Linotype"/>
          <w:noProof/>
          <w:szCs w:val="24"/>
        </w:rPr>
        <w:t>STAMP model to estimate the economic cost of a</w:t>
      </w:r>
      <w:r>
        <w:rPr>
          <w:rFonts w:ascii="Palatino Linotype" w:hAnsi="Palatino Linotype"/>
          <w:noProof/>
          <w:szCs w:val="24"/>
        </w:rPr>
        <w:t xml:space="preserve"> proposed cap and investment of</w:t>
      </w:r>
      <w:r w:rsidR="0030439E">
        <w:rPr>
          <w:rFonts w:ascii="Palatino Linotype" w:hAnsi="Palatino Linotype"/>
          <w:noProof/>
          <w:szCs w:val="24"/>
        </w:rPr>
        <w:t xml:space="preserve"> finished</w:t>
      </w:r>
      <w:r>
        <w:rPr>
          <w:rFonts w:ascii="Palatino Linotype" w:hAnsi="Palatino Linotype"/>
          <w:noProof/>
          <w:szCs w:val="24"/>
        </w:rPr>
        <w:t xml:space="preserve"> gasoline and </w:t>
      </w:r>
      <w:r w:rsidR="0030439E">
        <w:rPr>
          <w:rFonts w:ascii="Palatino Linotype" w:hAnsi="Palatino Linotype"/>
          <w:noProof/>
          <w:szCs w:val="24"/>
        </w:rPr>
        <w:t xml:space="preserve">on-road </w:t>
      </w:r>
      <w:r>
        <w:rPr>
          <w:rFonts w:ascii="Palatino Linotype" w:hAnsi="Palatino Linotype"/>
          <w:noProof/>
          <w:szCs w:val="24"/>
        </w:rPr>
        <w:t xml:space="preserve">diesel in </w:t>
      </w:r>
      <w:r w:rsidR="00AF38EC">
        <w:rPr>
          <w:rFonts w:ascii="Palatino Linotype" w:hAnsi="Palatino Linotype"/>
          <w:noProof/>
          <w:szCs w:val="24"/>
        </w:rPr>
        <w:t>Virginia</w:t>
      </w:r>
      <w:r w:rsidRPr="00D369F7">
        <w:rPr>
          <w:rFonts w:ascii="Palatino Linotype" w:hAnsi="Palatino Linotype"/>
          <w:noProof/>
          <w:szCs w:val="24"/>
        </w:rPr>
        <w:t xml:space="preserve">.  </w:t>
      </w:r>
      <w:r>
        <w:rPr>
          <w:rFonts w:ascii="Palatino Linotype" w:hAnsi="Palatino Linotype"/>
          <w:noProof/>
          <w:szCs w:val="24"/>
        </w:rPr>
        <w:t xml:space="preserve">The </w:t>
      </w:r>
      <w:r w:rsidR="009C1FDB">
        <w:rPr>
          <w:rFonts w:ascii="Palatino Linotype" w:hAnsi="Palatino Linotype"/>
          <w:noProof/>
          <w:szCs w:val="24"/>
        </w:rPr>
        <w:t>STAMP</w:t>
      </w:r>
      <w:r>
        <w:rPr>
          <w:rFonts w:ascii="Palatino Linotype" w:hAnsi="Palatino Linotype"/>
          <w:noProof/>
          <w:szCs w:val="24"/>
        </w:rPr>
        <w:t xml:space="preserve"> model provide</w:t>
      </w:r>
      <w:r w:rsidR="009C1FDB">
        <w:rPr>
          <w:rFonts w:ascii="Palatino Linotype" w:hAnsi="Palatino Linotype"/>
          <w:noProof/>
          <w:szCs w:val="24"/>
        </w:rPr>
        <w:t>s</w:t>
      </w:r>
      <w:r>
        <w:rPr>
          <w:rFonts w:ascii="Palatino Linotype" w:hAnsi="Palatino Linotype"/>
          <w:noProof/>
          <w:szCs w:val="24"/>
        </w:rPr>
        <w:t xml:space="preserve"> fields in which we can enter changes in the state income, </w:t>
      </w:r>
      <w:r>
        <w:rPr>
          <w:rFonts w:ascii="Palatino Linotype" w:hAnsi="Palatino Linotype"/>
          <w:noProof/>
          <w:szCs w:val="24"/>
        </w:rPr>
        <w:lastRenderedPageBreak/>
        <w:t xml:space="preserve">corporate, sales, and motor fuels tax. </w:t>
      </w:r>
      <w:r w:rsidRPr="00EC3797">
        <w:rPr>
          <w:rFonts w:ascii="Palatino Linotype" w:hAnsi="Palatino Linotype"/>
          <w:noProof/>
          <w:szCs w:val="24"/>
        </w:rPr>
        <w:t>We modif</w:t>
      </w:r>
      <w:r w:rsidR="0030439E">
        <w:rPr>
          <w:rFonts w:ascii="Palatino Linotype" w:hAnsi="Palatino Linotype"/>
          <w:noProof/>
          <w:szCs w:val="24"/>
        </w:rPr>
        <w:t>ied</w:t>
      </w:r>
      <w:r w:rsidRPr="00EC3797">
        <w:rPr>
          <w:rFonts w:ascii="Palatino Linotype" w:hAnsi="Palatino Linotype"/>
          <w:noProof/>
          <w:szCs w:val="24"/>
        </w:rPr>
        <w:t xml:space="preserve"> the model</w:t>
      </w:r>
      <w:r w:rsidR="00D617EE">
        <w:rPr>
          <w:rFonts w:ascii="Palatino Linotype" w:hAnsi="Palatino Linotype"/>
          <w:noProof/>
          <w:szCs w:val="24"/>
        </w:rPr>
        <w:t xml:space="preserve"> </w:t>
      </w:r>
      <w:r w:rsidR="0030439E">
        <w:rPr>
          <w:rFonts w:ascii="Palatino Linotype" w:hAnsi="Palatino Linotype"/>
          <w:noProof/>
          <w:szCs w:val="24"/>
        </w:rPr>
        <w:t>adding separate taxes on gasoline and diesel</w:t>
      </w:r>
      <w:r w:rsidR="00D617EE">
        <w:rPr>
          <w:rFonts w:ascii="Palatino Linotype" w:hAnsi="Palatino Linotype"/>
          <w:noProof/>
          <w:szCs w:val="24"/>
        </w:rPr>
        <w:t>.</w:t>
      </w:r>
      <w:r w:rsidR="00D902A0">
        <w:rPr>
          <w:rFonts w:ascii="Palatino Linotype" w:hAnsi="Palatino Linotype"/>
          <w:noProof/>
          <w:szCs w:val="24"/>
        </w:rPr>
        <w:t xml:space="preserve"> </w:t>
      </w:r>
    </w:p>
    <w:p w14:paraId="161A0B4E" w14:textId="559C9FAC" w:rsidR="00E5373E" w:rsidRPr="00BE65DF" w:rsidRDefault="0030439E" w:rsidP="005538D1">
      <w:pPr>
        <w:spacing w:line="360" w:lineRule="auto"/>
        <w:ind w:firstLine="720"/>
        <w:jc w:val="both"/>
        <w:rPr>
          <w:rFonts w:ascii="Palatino Linotype" w:hAnsi="Palatino Linotype"/>
          <w:noProof/>
        </w:rPr>
      </w:pPr>
      <w:r>
        <w:rPr>
          <w:rFonts w:ascii="Palatino Linotype" w:hAnsi="Palatino Linotype"/>
          <w:noProof/>
          <w:szCs w:val="24"/>
        </w:rPr>
        <w:t>BHI then forecasted the baseline emissions from the combustion of finished gasoline and on-road diesel within the TCI region</w:t>
      </w:r>
      <w:r w:rsidR="00AF6B2C">
        <w:rPr>
          <w:rFonts w:ascii="Palatino Linotype" w:hAnsi="Palatino Linotype"/>
          <w:noProof/>
          <w:szCs w:val="24"/>
        </w:rPr>
        <w:t>, using a compound annual gro</w:t>
      </w:r>
      <w:r w:rsidR="00965C02">
        <w:rPr>
          <w:rFonts w:ascii="Palatino Linotype" w:hAnsi="Palatino Linotype"/>
          <w:noProof/>
          <w:szCs w:val="24"/>
        </w:rPr>
        <w:t>w</w:t>
      </w:r>
      <w:r w:rsidR="00AF6B2C">
        <w:rPr>
          <w:rFonts w:ascii="Palatino Linotype" w:hAnsi="Palatino Linotype"/>
          <w:noProof/>
          <w:szCs w:val="24"/>
        </w:rPr>
        <w:t>th rate (CAGR)</w:t>
      </w:r>
      <w:r>
        <w:rPr>
          <w:rFonts w:ascii="Palatino Linotype" w:hAnsi="Palatino Linotype"/>
          <w:noProof/>
          <w:szCs w:val="24"/>
        </w:rPr>
        <w:t xml:space="preserve">. </w:t>
      </w:r>
      <w:r w:rsidR="00AF6B2C">
        <w:rPr>
          <w:rFonts w:ascii="Palatino Linotype" w:hAnsi="Palatino Linotype"/>
          <w:noProof/>
          <w:szCs w:val="24"/>
        </w:rPr>
        <w:t xml:space="preserve">BHI estimated that baseline emissions in the region will fall by </w:t>
      </w:r>
      <w:r w:rsidR="009C1FDB">
        <w:rPr>
          <w:rFonts w:ascii="Palatino Linotype" w:hAnsi="Palatino Linotype"/>
          <w:noProof/>
          <w:szCs w:val="24"/>
        </w:rPr>
        <w:t>eight</w:t>
      </w:r>
      <w:r w:rsidR="00AF6B2C">
        <w:rPr>
          <w:rFonts w:ascii="Palatino Linotype" w:hAnsi="Palatino Linotype"/>
          <w:noProof/>
          <w:szCs w:val="24"/>
        </w:rPr>
        <w:t xml:space="preserve"> percent over the period 2022 through 2032. </w:t>
      </w:r>
      <w:r w:rsidR="00E5373E" w:rsidRPr="00D369F7">
        <w:rPr>
          <w:rFonts w:ascii="Palatino Linotype" w:hAnsi="Palatino Linotype"/>
          <w:noProof/>
          <w:szCs w:val="24"/>
        </w:rPr>
        <w:t>BHI next</w:t>
      </w:r>
      <w:r>
        <w:rPr>
          <w:rFonts w:ascii="Palatino Linotype" w:hAnsi="Palatino Linotype"/>
          <w:noProof/>
          <w:szCs w:val="24"/>
        </w:rPr>
        <w:t xml:space="preserve"> </w:t>
      </w:r>
      <w:r w:rsidR="00E5373E" w:rsidRPr="00D369F7">
        <w:rPr>
          <w:rFonts w:ascii="Palatino Linotype" w:hAnsi="Palatino Linotype"/>
          <w:noProof/>
          <w:szCs w:val="24"/>
        </w:rPr>
        <w:t>estima</w:t>
      </w:r>
      <w:r w:rsidR="00E5373E">
        <w:rPr>
          <w:rFonts w:ascii="Palatino Linotype" w:hAnsi="Palatino Linotype"/>
          <w:noProof/>
          <w:szCs w:val="24"/>
        </w:rPr>
        <w:t>te</w:t>
      </w:r>
      <w:r>
        <w:rPr>
          <w:rFonts w:ascii="Palatino Linotype" w:hAnsi="Palatino Linotype"/>
          <w:noProof/>
          <w:szCs w:val="24"/>
        </w:rPr>
        <w:t>d</w:t>
      </w:r>
      <w:r w:rsidR="00E5373E">
        <w:rPr>
          <w:rFonts w:ascii="Palatino Linotype" w:hAnsi="Palatino Linotype"/>
          <w:noProof/>
          <w:szCs w:val="24"/>
        </w:rPr>
        <w:t xml:space="preserve"> scenarios whereby CO2E emissions from the </w:t>
      </w:r>
      <w:r w:rsidR="007077CF">
        <w:rPr>
          <w:rFonts w:ascii="Palatino Linotype" w:hAnsi="Palatino Linotype"/>
          <w:noProof/>
        </w:rPr>
        <w:t>consumption</w:t>
      </w:r>
      <w:r w:rsidR="00E5373E">
        <w:rPr>
          <w:rFonts w:ascii="Palatino Linotype" w:hAnsi="Palatino Linotype"/>
          <w:noProof/>
          <w:szCs w:val="24"/>
        </w:rPr>
        <w:t xml:space="preserve"> of </w:t>
      </w:r>
      <w:r w:rsidR="00E5373E" w:rsidRPr="00BE65DF">
        <w:rPr>
          <w:rFonts w:ascii="Palatino Linotype" w:hAnsi="Palatino Linotype"/>
          <w:noProof/>
        </w:rPr>
        <w:t>on-road diesel and finished motor gasoline</w:t>
      </w:r>
      <w:r w:rsidR="00E5373E">
        <w:rPr>
          <w:rFonts w:ascii="Palatino Linotype" w:hAnsi="Palatino Linotype"/>
          <w:noProof/>
        </w:rPr>
        <w:t xml:space="preserve"> destined for final sale were capped at 20 percent, 22</w:t>
      </w:r>
      <w:r w:rsidR="00C25F4C">
        <w:rPr>
          <w:rFonts w:ascii="Palatino Linotype" w:hAnsi="Palatino Linotype"/>
          <w:noProof/>
        </w:rPr>
        <w:t>.5</w:t>
      </w:r>
      <w:r w:rsidR="00E5373E">
        <w:rPr>
          <w:rFonts w:ascii="Palatino Linotype" w:hAnsi="Palatino Linotype"/>
          <w:noProof/>
        </w:rPr>
        <w:t xml:space="preserve"> percent</w:t>
      </w:r>
      <w:r w:rsidR="00D6634E">
        <w:rPr>
          <w:rFonts w:ascii="Palatino Linotype" w:hAnsi="Palatino Linotype"/>
          <w:noProof/>
        </w:rPr>
        <w:t>,</w:t>
      </w:r>
      <w:r w:rsidR="00E5373E">
        <w:rPr>
          <w:rFonts w:ascii="Palatino Linotype" w:hAnsi="Palatino Linotype"/>
          <w:noProof/>
        </w:rPr>
        <w:t xml:space="preserve"> and 25 percent, leading to an increase in the price </w:t>
      </w:r>
      <w:r w:rsidR="009C1FDB">
        <w:rPr>
          <w:rFonts w:ascii="Palatino Linotype" w:hAnsi="Palatino Linotype"/>
          <w:noProof/>
        </w:rPr>
        <w:t>of</w:t>
      </w:r>
      <w:r w:rsidR="00E5373E">
        <w:rPr>
          <w:rFonts w:ascii="Palatino Linotype" w:hAnsi="Palatino Linotype"/>
          <w:noProof/>
        </w:rPr>
        <w:t xml:space="preserve"> motor fuels</w:t>
      </w:r>
      <w:r w:rsidR="00E5373E" w:rsidRPr="00D369F7">
        <w:rPr>
          <w:rFonts w:ascii="Palatino Linotype" w:hAnsi="Palatino Linotype"/>
          <w:noProof/>
          <w:szCs w:val="24"/>
        </w:rPr>
        <w:t xml:space="preserve">. </w:t>
      </w:r>
      <w:r>
        <w:rPr>
          <w:rFonts w:ascii="Palatino Linotype" w:hAnsi="Palatino Linotype"/>
          <w:noProof/>
          <w:szCs w:val="24"/>
        </w:rPr>
        <w:t xml:space="preserve">We subtracted the annual cap in emissions by the baseline fall in emissions to find our annual price increase </w:t>
      </w:r>
      <w:r w:rsidR="009A5F85">
        <w:rPr>
          <w:rFonts w:ascii="Palatino Linotype" w:hAnsi="Palatino Linotype"/>
          <w:noProof/>
          <w:szCs w:val="24"/>
        </w:rPr>
        <w:t>for</w:t>
      </w:r>
      <w:r>
        <w:rPr>
          <w:rFonts w:ascii="Palatino Linotype" w:hAnsi="Palatino Linotype"/>
          <w:noProof/>
          <w:szCs w:val="24"/>
        </w:rPr>
        <w:t xml:space="preserve"> both products in </w:t>
      </w:r>
      <w:r w:rsidR="00AF38EC">
        <w:rPr>
          <w:rFonts w:ascii="Palatino Linotype" w:hAnsi="Palatino Linotype"/>
          <w:noProof/>
          <w:szCs w:val="24"/>
        </w:rPr>
        <w:t>Virginia</w:t>
      </w:r>
      <w:r>
        <w:rPr>
          <w:rFonts w:ascii="Palatino Linotype" w:hAnsi="Palatino Linotype"/>
          <w:noProof/>
          <w:szCs w:val="24"/>
        </w:rPr>
        <w:t>.</w:t>
      </w:r>
      <w:r w:rsidR="00E5373E" w:rsidRPr="00D369F7">
        <w:rPr>
          <w:rFonts w:ascii="Palatino Linotype" w:hAnsi="Palatino Linotype"/>
          <w:noProof/>
          <w:szCs w:val="24"/>
        </w:rPr>
        <w:t xml:space="preserve"> To accomplish this, BHI (1) estimated the price elasticities of </w:t>
      </w:r>
      <w:r w:rsidR="009A5F85">
        <w:rPr>
          <w:rFonts w:ascii="Palatino Linotype" w:hAnsi="Palatino Linotype"/>
          <w:noProof/>
          <w:szCs w:val="24"/>
        </w:rPr>
        <w:t>demand</w:t>
      </w:r>
      <w:r w:rsidR="00E5373E" w:rsidRPr="00D369F7">
        <w:rPr>
          <w:rFonts w:ascii="Palatino Linotype" w:hAnsi="Palatino Linotype"/>
          <w:noProof/>
          <w:szCs w:val="24"/>
        </w:rPr>
        <w:t xml:space="preserve"> for the diffe</w:t>
      </w:r>
      <w:r w:rsidR="00E5373E">
        <w:rPr>
          <w:rFonts w:ascii="Palatino Linotype" w:hAnsi="Palatino Linotype"/>
          <w:noProof/>
          <w:szCs w:val="24"/>
        </w:rPr>
        <w:t xml:space="preserve">rent fuels </w:t>
      </w:r>
      <w:r w:rsidR="00E5373E" w:rsidRPr="00D369F7">
        <w:rPr>
          <w:rFonts w:ascii="Palatino Linotype" w:hAnsi="Palatino Linotype"/>
          <w:noProof/>
          <w:szCs w:val="24"/>
        </w:rPr>
        <w:t>specified in the</w:t>
      </w:r>
      <w:r w:rsidR="00E5373E">
        <w:rPr>
          <w:rFonts w:ascii="Palatino Linotype" w:hAnsi="Palatino Linotype"/>
          <w:noProof/>
          <w:szCs w:val="24"/>
        </w:rPr>
        <w:t xml:space="preserve"> Transportation and Climate Initiative MOU</w:t>
      </w:r>
      <w:r w:rsidR="00E5373E" w:rsidRPr="00D369F7">
        <w:rPr>
          <w:rFonts w:ascii="Palatino Linotype" w:hAnsi="Palatino Linotype"/>
          <w:noProof/>
          <w:szCs w:val="24"/>
        </w:rPr>
        <w:t xml:space="preserve">, (2) </w:t>
      </w:r>
      <w:r w:rsidR="00BF3B06">
        <w:rPr>
          <w:rFonts w:ascii="Palatino Linotype" w:hAnsi="Palatino Linotype"/>
          <w:noProof/>
          <w:szCs w:val="24"/>
        </w:rPr>
        <w:t xml:space="preserve">forecasted </w:t>
      </w:r>
      <w:r w:rsidR="00E5373E" w:rsidRPr="00D369F7">
        <w:rPr>
          <w:rFonts w:ascii="Palatino Linotype" w:hAnsi="Palatino Linotype"/>
          <w:noProof/>
          <w:szCs w:val="24"/>
        </w:rPr>
        <w:t xml:space="preserve">the </w:t>
      </w:r>
      <w:r w:rsidR="009A5F85">
        <w:rPr>
          <w:rFonts w:ascii="Palatino Linotype" w:hAnsi="Palatino Linotype"/>
          <w:noProof/>
          <w:szCs w:val="24"/>
        </w:rPr>
        <w:t>price</w:t>
      </w:r>
      <w:r w:rsidR="00E5373E" w:rsidRPr="00D369F7">
        <w:rPr>
          <w:rFonts w:ascii="Palatino Linotype" w:hAnsi="Palatino Linotype"/>
          <w:noProof/>
          <w:szCs w:val="24"/>
        </w:rPr>
        <w:t xml:space="preserve"> of </w:t>
      </w:r>
      <w:r w:rsidR="00E5373E">
        <w:rPr>
          <w:rFonts w:ascii="Palatino Linotype" w:hAnsi="Palatino Linotype"/>
          <w:noProof/>
          <w:szCs w:val="24"/>
        </w:rPr>
        <w:t xml:space="preserve">fuels </w:t>
      </w:r>
      <w:r w:rsidR="00E5373E" w:rsidRPr="00D369F7">
        <w:rPr>
          <w:rFonts w:ascii="Palatino Linotype" w:hAnsi="Palatino Linotype"/>
          <w:noProof/>
          <w:szCs w:val="24"/>
        </w:rPr>
        <w:t xml:space="preserve">for the time period, and (3) estimated the price change for each fuel that would result </w:t>
      </w:r>
      <w:r w:rsidR="00E5373E">
        <w:rPr>
          <w:rFonts w:ascii="Palatino Linotype" w:hAnsi="Palatino Linotype"/>
          <w:noProof/>
          <w:szCs w:val="24"/>
        </w:rPr>
        <w:t>from</w:t>
      </w:r>
      <w:r w:rsidR="00BF3B06">
        <w:rPr>
          <w:rFonts w:ascii="Palatino Linotype" w:hAnsi="Palatino Linotype"/>
          <w:noProof/>
          <w:szCs w:val="24"/>
        </w:rPr>
        <w:t xml:space="preserve"> the various emissions cap scenarios</w:t>
      </w:r>
      <w:r w:rsidR="00E5373E" w:rsidRPr="00D369F7">
        <w:rPr>
          <w:rFonts w:ascii="Palatino Linotype" w:hAnsi="Palatino Linotype"/>
          <w:noProof/>
          <w:szCs w:val="24"/>
        </w:rPr>
        <w:t>.</w:t>
      </w:r>
    </w:p>
    <w:p w14:paraId="6A821C78" w14:textId="74A66233" w:rsidR="00206673" w:rsidRPr="00D369F7" w:rsidRDefault="00E5373E" w:rsidP="009C1FDB">
      <w:pPr>
        <w:spacing w:line="360" w:lineRule="auto"/>
        <w:ind w:firstLine="720"/>
        <w:jc w:val="both"/>
        <w:rPr>
          <w:rFonts w:ascii="Palatino Linotype" w:hAnsi="Palatino Linotype"/>
          <w:noProof/>
          <w:szCs w:val="24"/>
        </w:rPr>
      </w:pPr>
      <w:r w:rsidRPr="00D369F7">
        <w:rPr>
          <w:rFonts w:ascii="Palatino Linotype" w:hAnsi="Palatino Linotype"/>
          <w:noProof/>
          <w:szCs w:val="24"/>
        </w:rPr>
        <w:t>BHI</w:t>
      </w:r>
      <w:r w:rsidR="004303E2">
        <w:rPr>
          <w:rFonts w:ascii="Palatino Linotype" w:hAnsi="Palatino Linotype"/>
          <w:noProof/>
          <w:szCs w:val="24"/>
        </w:rPr>
        <w:t xml:space="preserve"> </w:t>
      </w:r>
      <w:r w:rsidRPr="00D369F7">
        <w:rPr>
          <w:rFonts w:ascii="Palatino Linotype" w:hAnsi="Palatino Linotype"/>
          <w:noProof/>
          <w:szCs w:val="24"/>
        </w:rPr>
        <w:t>utilize</w:t>
      </w:r>
      <w:r w:rsidR="004303E2">
        <w:rPr>
          <w:rFonts w:ascii="Palatino Linotype" w:hAnsi="Palatino Linotype"/>
          <w:noProof/>
          <w:szCs w:val="24"/>
        </w:rPr>
        <w:t>d</w:t>
      </w:r>
      <w:r w:rsidRPr="00D369F7">
        <w:rPr>
          <w:rFonts w:ascii="Palatino Linotype" w:hAnsi="Palatino Linotype"/>
          <w:noProof/>
          <w:szCs w:val="24"/>
        </w:rPr>
        <w:t xml:space="preserve"> data </w:t>
      </w:r>
      <w:r>
        <w:rPr>
          <w:rFonts w:ascii="Palatino Linotype" w:hAnsi="Palatino Linotype"/>
          <w:noProof/>
          <w:szCs w:val="24"/>
        </w:rPr>
        <w:t xml:space="preserve">for </w:t>
      </w:r>
      <w:r w:rsidRPr="00BE65DF">
        <w:rPr>
          <w:rFonts w:ascii="Palatino Linotype" w:hAnsi="Palatino Linotype"/>
          <w:noProof/>
        </w:rPr>
        <w:t>on-road diesel and finished motor gasoline</w:t>
      </w:r>
      <w:r w:rsidRPr="00D369F7">
        <w:rPr>
          <w:rFonts w:ascii="Palatino Linotype" w:hAnsi="Palatino Linotype"/>
          <w:noProof/>
          <w:szCs w:val="24"/>
        </w:rPr>
        <w:t xml:space="preserve"> and consumption from the U.S. Department of Energy’s Energy Information Administration (EIA) for </w:t>
      </w:r>
      <w:r w:rsidR="00AF38EC">
        <w:rPr>
          <w:rFonts w:ascii="Palatino Linotype" w:hAnsi="Palatino Linotype"/>
          <w:noProof/>
          <w:szCs w:val="24"/>
        </w:rPr>
        <w:t>Virginia</w:t>
      </w:r>
      <w:r w:rsidR="00063782">
        <w:rPr>
          <w:rFonts w:ascii="Palatino Linotype" w:hAnsi="Palatino Linotype"/>
          <w:noProof/>
          <w:szCs w:val="24"/>
        </w:rPr>
        <w:t xml:space="preserve"> </w:t>
      </w:r>
      <w:r w:rsidRPr="00D369F7">
        <w:rPr>
          <w:rFonts w:ascii="Palatino Linotype" w:hAnsi="Palatino Linotype"/>
          <w:noProof/>
          <w:szCs w:val="24"/>
        </w:rPr>
        <w:t xml:space="preserve">to calculate price elasticities of </w:t>
      </w:r>
      <w:r w:rsidR="004303E2">
        <w:rPr>
          <w:rFonts w:ascii="Palatino Linotype" w:hAnsi="Palatino Linotype"/>
          <w:noProof/>
          <w:szCs w:val="24"/>
        </w:rPr>
        <w:t>demand</w:t>
      </w:r>
      <w:r w:rsidRPr="00D369F7">
        <w:rPr>
          <w:rFonts w:ascii="Palatino Linotype" w:hAnsi="Palatino Linotype"/>
          <w:noProof/>
          <w:szCs w:val="24"/>
        </w:rPr>
        <w:t xml:space="preserve"> for each </w:t>
      </w:r>
      <w:r>
        <w:rPr>
          <w:rFonts w:ascii="Palatino Linotype" w:hAnsi="Palatino Linotype"/>
          <w:noProof/>
          <w:szCs w:val="24"/>
        </w:rPr>
        <w:t>product</w:t>
      </w:r>
      <w:r w:rsidRPr="00D369F7">
        <w:rPr>
          <w:rFonts w:ascii="Palatino Linotype" w:hAnsi="Palatino Linotype"/>
          <w:noProof/>
          <w:szCs w:val="24"/>
        </w:rPr>
        <w:t>.</w:t>
      </w:r>
      <w:r w:rsidR="00F7229F">
        <w:rPr>
          <w:rStyle w:val="FootnoteReference"/>
          <w:rFonts w:ascii="Palatino Linotype" w:hAnsi="Palatino Linotype"/>
          <w:noProof/>
          <w:szCs w:val="24"/>
        </w:rPr>
        <w:footnoteReference w:customMarkFollows="1" w:id="48"/>
        <w:t>47</w:t>
      </w:r>
      <w:r w:rsidRPr="00D369F7">
        <w:rPr>
          <w:rFonts w:ascii="Palatino Linotype" w:hAnsi="Palatino Linotype"/>
          <w:noProof/>
          <w:szCs w:val="24"/>
        </w:rPr>
        <w:t xml:space="preserve"> We</w:t>
      </w:r>
      <w:r>
        <w:rPr>
          <w:rFonts w:ascii="Palatino Linotype" w:hAnsi="Palatino Linotype"/>
          <w:noProof/>
          <w:szCs w:val="24"/>
        </w:rPr>
        <w:t xml:space="preserve"> </w:t>
      </w:r>
      <w:r w:rsidRPr="00D369F7">
        <w:rPr>
          <w:rFonts w:ascii="Palatino Linotype" w:hAnsi="Palatino Linotype"/>
          <w:noProof/>
          <w:szCs w:val="24"/>
        </w:rPr>
        <w:t>calculate</w:t>
      </w:r>
      <w:r w:rsidR="004303E2">
        <w:rPr>
          <w:rFonts w:ascii="Palatino Linotype" w:hAnsi="Palatino Linotype"/>
          <w:noProof/>
          <w:szCs w:val="24"/>
        </w:rPr>
        <w:t>d</w:t>
      </w:r>
      <w:r w:rsidRPr="00D369F7">
        <w:rPr>
          <w:rFonts w:ascii="Palatino Linotype" w:hAnsi="Palatino Linotype"/>
          <w:noProof/>
          <w:szCs w:val="24"/>
        </w:rPr>
        <w:t xml:space="preserve"> price elasticities </w:t>
      </w:r>
      <w:r>
        <w:rPr>
          <w:rFonts w:ascii="Palatino Linotype" w:hAnsi="Palatino Linotype"/>
          <w:noProof/>
          <w:szCs w:val="24"/>
        </w:rPr>
        <w:t xml:space="preserve">of demand </w:t>
      </w:r>
      <w:r w:rsidRPr="00D369F7">
        <w:rPr>
          <w:rFonts w:ascii="Palatino Linotype" w:hAnsi="Palatino Linotype"/>
          <w:noProof/>
          <w:szCs w:val="24"/>
        </w:rPr>
        <w:t xml:space="preserve">for </w:t>
      </w:r>
      <w:r>
        <w:rPr>
          <w:rFonts w:ascii="Palatino Linotype" w:hAnsi="Palatino Linotype"/>
          <w:noProof/>
          <w:szCs w:val="24"/>
        </w:rPr>
        <w:t xml:space="preserve">the </w:t>
      </w:r>
      <w:r w:rsidR="004303E2">
        <w:rPr>
          <w:rFonts w:ascii="Palatino Linotype" w:hAnsi="Palatino Linotype"/>
          <w:noProof/>
          <w:szCs w:val="24"/>
        </w:rPr>
        <w:t xml:space="preserve">finished gasoline and on-road diesel portion of the </w:t>
      </w:r>
      <w:r w:rsidRPr="00D369F7">
        <w:rPr>
          <w:rFonts w:ascii="Palatino Linotype" w:hAnsi="Palatino Linotype"/>
          <w:noProof/>
          <w:szCs w:val="24"/>
        </w:rPr>
        <w:t>transportation</w:t>
      </w:r>
      <w:r>
        <w:rPr>
          <w:rFonts w:ascii="Palatino Linotype" w:hAnsi="Palatino Linotype"/>
          <w:noProof/>
          <w:szCs w:val="24"/>
        </w:rPr>
        <w:t xml:space="preserve"> sector</w:t>
      </w:r>
      <w:r w:rsidRPr="00D369F7">
        <w:rPr>
          <w:rFonts w:ascii="Palatino Linotype" w:hAnsi="Palatino Linotype"/>
          <w:noProof/>
          <w:szCs w:val="24"/>
        </w:rPr>
        <w:t>.  We</w:t>
      </w:r>
      <w:r>
        <w:rPr>
          <w:rFonts w:ascii="Palatino Linotype" w:hAnsi="Palatino Linotype"/>
          <w:noProof/>
          <w:szCs w:val="24"/>
        </w:rPr>
        <w:t xml:space="preserve"> use</w:t>
      </w:r>
      <w:r w:rsidR="004303E2">
        <w:rPr>
          <w:rFonts w:ascii="Palatino Linotype" w:hAnsi="Palatino Linotype"/>
          <w:noProof/>
          <w:szCs w:val="24"/>
        </w:rPr>
        <w:t>d</w:t>
      </w:r>
      <w:r w:rsidRPr="00D369F7">
        <w:rPr>
          <w:rFonts w:ascii="Palatino Linotype" w:hAnsi="Palatino Linotype"/>
          <w:noProof/>
          <w:szCs w:val="24"/>
        </w:rPr>
        <w:t xml:space="preserve"> a log</w:t>
      </w:r>
      <w:r w:rsidR="004303E2">
        <w:rPr>
          <w:rFonts w:ascii="Palatino Linotype" w:hAnsi="Palatino Linotype"/>
          <w:noProof/>
          <w:szCs w:val="24"/>
        </w:rPr>
        <w:t>-</w:t>
      </w:r>
      <w:r w:rsidRPr="00D369F7">
        <w:rPr>
          <w:rFonts w:ascii="Palatino Linotype" w:hAnsi="Palatino Linotype"/>
          <w:noProof/>
          <w:szCs w:val="24"/>
        </w:rPr>
        <w:t xml:space="preserve">log model to calculate the elasticities using the following equation: </w:t>
      </w:r>
      <m:oMath>
        <m:func>
          <m:funcPr>
            <m:ctrlPr>
              <w:rPr>
                <w:rFonts w:ascii="Cambria Math" w:hAnsi="Cambria Math"/>
                <w:i/>
                <w:noProof/>
                <w:szCs w:val="24"/>
              </w:rPr>
            </m:ctrlPr>
          </m:funcPr>
          <m:fName>
            <m:r>
              <m:rPr>
                <m:sty m:val="p"/>
              </m:rPr>
              <w:rPr>
                <w:rFonts w:ascii="Cambria Math" w:hAnsi="Cambria Math"/>
                <w:noProof/>
                <w:szCs w:val="24"/>
              </w:rPr>
              <m:t>log</m:t>
            </m:r>
          </m:fName>
          <m:e>
            <m:r>
              <w:rPr>
                <w:rFonts w:ascii="Cambria Math" w:hAnsi="Cambria Math"/>
                <w:noProof/>
                <w:szCs w:val="24"/>
              </w:rPr>
              <m:t>(consumption)</m:t>
            </m:r>
          </m:e>
        </m:func>
        <m:r>
          <w:rPr>
            <w:rFonts w:ascii="Cambria Math" w:hAnsi="Cambria Math"/>
            <w:noProof/>
            <w:szCs w:val="24"/>
          </w:rPr>
          <m:t>= β+</m:t>
        </m:r>
        <m:func>
          <m:funcPr>
            <m:ctrlPr>
              <w:rPr>
                <w:rFonts w:ascii="Cambria Math" w:hAnsi="Cambria Math"/>
                <w:i/>
                <w:noProof/>
                <w:szCs w:val="24"/>
              </w:rPr>
            </m:ctrlPr>
          </m:funcPr>
          <m:fName>
            <m:r>
              <m:rPr>
                <m:sty m:val="p"/>
              </m:rPr>
              <w:rPr>
                <w:rFonts w:ascii="Cambria Math" w:hAnsi="Cambria Math"/>
                <w:noProof/>
                <w:szCs w:val="24"/>
              </w:rPr>
              <m:t>log</m:t>
            </m:r>
          </m:fName>
          <m:e>
            <m:r>
              <w:rPr>
                <w:rFonts w:ascii="Cambria Math" w:hAnsi="Cambria Math"/>
                <w:noProof/>
                <w:szCs w:val="24"/>
              </w:rPr>
              <m:t>(price)+ ε</m:t>
            </m:r>
          </m:e>
        </m:func>
      </m:oMath>
      <w:r>
        <w:rPr>
          <w:rFonts w:ascii="Palatino Linotype" w:hAnsi="Palatino Linotype"/>
          <w:noProof/>
          <w:szCs w:val="24"/>
        </w:rPr>
        <w:t>,</w:t>
      </w:r>
    </w:p>
    <w:p w14:paraId="44446003" w14:textId="01853C85" w:rsidR="0023014C" w:rsidRDefault="00E5373E" w:rsidP="005538D1">
      <w:pPr>
        <w:spacing w:line="360" w:lineRule="auto"/>
        <w:jc w:val="both"/>
        <w:rPr>
          <w:rFonts w:ascii="Palatino Linotype" w:hAnsi="Palatino Linotype"/>
          <w:noProof/>
          <w:szCs w:val="24"/>
        </w:rPr>
      </w:pPr>
      <w:r>
        <w:rPr>
          <w:rFonts w:ascii="Palatino Linotype" w:hAnsi="Palatino Linotype"/>
          <w:noProof/>
          <w:szCs w:val="24"/>
        </w:rPr>
        <w:t>w</w:t>
      </w:r>
      <w:r w:rsidRPr="00D369F7">
        <w:rPr>
          <w:rFonts w:ascii="Palatino Linotype" w:hAnsi="Palatino Linotype"/>
          <w:noProof/>
          <w:szCs w:val="24"/>
        </w:rPr>
        <w:t>here β is the intercept</w:t>
      </w:r>
      <w:r w:rsidR="004303E2">
        <w:rPr>
          <w:rFonts w:ascii="Palatino Linotype" w:hAnsi="Palatino Linotype"/>
          <w:noProof/>
          <w:szCs w:val="24"/>
        </w:rPr>
        <w:t xml:space="preserve">, </w:t>
      </w:r>
      <w:r w:rsidR="004303E2" w:rsidRPr="004303E2">
        <w:rPr>
          <w:rFonts w:ascii="Palatino Linotype" w:hAnsi="Palatino Linotype"/>
          <w:noProof/>
          <w:szCs w:val="24"/>
        </w:rPr>
        <w:t>α is the elasticity</w:t>
      </w:r>
      <w:r w:rsidR="004303E2">
        <w:rPr>
          <w:rFonts w:ascii="Palatino Linotype" w:hAnsi="Palatino Linotype"/>
          <w:noProof/>
          <w:szCs w:val="24"/>
        </w:rPr>
        <w:t>,</w:t>
      </w:r>
      <w:r w:rsidRPr="00D369F7">
        <w:rPr>
          <w:rFonts w:ascii="Palatino Linotype" w:hAnsi="Palatino Linotype"/>
          <w:noProof/>
          <w:szCs w:val="24"/>
        </w:rPr>
        <w:t xml:space="preserve"> and ε is the error term.  </w:t>
      </w:r>
    </w:p>
    <w:p w14:paraId="6F6F6E9D" w14:textId="77777777" w:rsidR="007077CF" w:rsidRDefault="007077CF" w:rsidP="005538D1">
      <w:pPr>
        <w:spacing w:line="360" w:lineRule="auto"/>
        <w:jc w:val="both"/>
        <w:rPr>
          <w:rFonts w:ascii="Palatino Linotype" w:hAnsi="Palatino Linotype"/>
          <w:noProof/>
          <w:szCs w:val="24"/>
        </w:rPr>
      </w:pPr>
    </w:p>
    <w:p w14:paraId="5D0FD2E0" w14:textId="327BF193" w:rsidR="00206673" w:rsidRPr="001600BE" w:rsidRDefault="00206673" w:rsidP="00206673">
      <w:pPr>
        <w:pStyle w:val="Caption"/>
        <w:jc w:val="center"/>
        <w:rPr>
          <w:rFonts w:ascii="Palatino Linotype" w:hAnsi="Palatino Linotype"/>
          <w:iCs/>
          <w:noProof/>
          <w:sz w:val="24"/>
          <w:szCs w:val="24"/>
        </w:rPr>
      </w:pPr>
      <w:bookmarkStart w:id="25" w:name="_Toc7181294"/>
      <w:bookmarkStart w:id="26" w:name="_Toc7979602"/>
      <w:bookmarkStart w:id="27" w:name="_Toc55394597"/>
      <w:r w:rsidRPr="001600BE">
        <w:rPr>
          <w:rFonts w:ascii="Palatino Linotype" w:hAnsi="Palatino Linotype"/>
          <w:iCs/>
          <w:noProof/>
          <w:sz w:val="24"/>
          <w:szCs w:val="24"/>
        </w:rPr>
        <w:t xml:space="preserve">Table </w:t>
      </w:r>
      <w:r>
        <w:rPr>
          <w:rFonts w:ascii="Palatino Linotype" w:hAnsi="Palatino Linotype"/>
          <w:iCs/>
          <w:noProof/>
          <w:sz w:val="24"/>
          <w:szCs w:val="24"/>
        </w:rPr>
        <w:t>A</w:t>
      </w:r>
      <w:r w:rsidR="00677045">
        <w:rPr>
          <w:rFonts w:ascii="Palatino Linotype" w:hAnsi="Palatino Linotype"/>
          <w:iCs/>
          <w:noProof/>
          <w:sz w:val="24"/>
          <w:szCs w:val="24"/>
        </w:rPr>
        <w:t>1</w:t>
      </w:r>
      <w:r w:rsidRPr="001600BE">
        <w:rPr>
          <w:rFonts w:ascii="Palatino Linotype" w:hAnsi="Palatino Linotype"/>
          <w:iCs/>
          <w:noProof/>
          <w:sz w:val="24"/>
          <w:szCs w:val="24"/>
        </w:rPr>
        <w:t xml:space="preserve">: Elasticities of Demand for </w:t>
      </w:r>
      <w:r>
        <w:rPr>
          <w:rFonts w:ascii="Palatino Linotype" w:hAnsi="Palatino Linotype"/>
          <w:iCs/>
          <w:noProof/>
          <w:sz w:val="24"/>
          <w:szCs w:val="24"/>
        </w:rPr>
        <w:t>Finished Gasoline and On-Road Diesel</w:t>
      </w:r>
      <w:bookmarkEnd w:id="25"/>
      <w:bookmarkEnd w:id="26"/>
      <w:bookmarkEnd w:id="27"/>
    </w:p>
    <w:tbl>
      <w:tblPr>
        <w:tblStyle w:val="TableGrid"/>
        <w:tblW w:w="9085" w:type="dxa"/>
        <w:tblLook w:val="04A0" w:firstRow="1" w:lastRow="0" w:firstColumn="1" w:lastColumn="0" w:noHBand="0" w:noVBand="1"/>
      </w:tblPr>
      <w:tblGrid>
        <w:gridCol w:w="2605"/>
        <w:gridCol w:w="6480"/>
      </w:tblGrid>
      <w:tr w:rsidR="00206673" w14:paraId="30608B41" w14:textId="77777777" w:rsidTr="00206673">
        <w:trPr>
          <w:trHeight w:val="377"/>
        </w:trPr>
        <w:tc>
          <w:tcPr>
            <w:tcW w:w="2605" w:type="dxa"/>
          </w:tcPr>
          <w:p w14:paraId="4319BB5C" w14:textId="77777777" w:rsidR="00206673" w:rsidRPr="00336FDB" w:rsidRDefault="00206673" w:rsidP="00222883">
            <w:pPr>
              <w:jc w:val="both"/>
              <w:rPr>
                <w:rFonts w:ascii="Palatino Linotype" w:hAnsi="Palatino Linotype"/>
                <w:noProof/>
                <w:sz w:val="22"/>
                <w:szCs w:val="22"/>
              </w:rPr>
            </w:pPr>
            <w:r w:rsidRPr="00336FDB">
              <w:rPr>
                <w:rFonts w:ascii="Palatino Linotype" w:hAnsi="Palatino Linotype"/>
                <w:noProof/>
                <w:sz w:val="22"/>
                <w:szCs w:val="22"/>
              </w:rPr>
              <w:lastRenderedPageBreak/>
              <w:t>Fuel</w:t>
            </w:r>
          </w:p>
        </w:tc>
        <w:tc>
          <w:tcPr>
            <w:tcW w:w="6480" w:type="dxa"/>
          </w:tcPr>
          <w:p w14:paraId="4A1F5DDC" w14:textId="77777777" w:rsidR="00206673" w:rsidRPr="00336FDB" w:rsidRDefault="00206673" w:rsidP="00222883">
            <w:pPr>
              <w:jc w:val="center"/>
              <w:rPr>
                <w:rFonts w:ascii="Palatino Linotype" w:hAnsi="Palatino Linotype"/>
                <w:noProof/>
                <w:sz w:val="22"/>
                <w:szCs w:val="22"/>
              </w:rPr>
            </w:pPr>
            <w:r w:rsidRPr="00336FDB">
              <w:rPr>
                <w:rFonts w:ascii="Palatino Linotype" w:hAnsi="Palatino Linotype"/>
                <w:noProof/>
                <w:sz w:val="22"/>
                <w:szCs w:val="22"/>
              </w:rPr>
              <w:t>Transportation</w:t>
            </w:r>
          </w:p>
        </w:tc>
      </w:tr>
      <w:tr w:rsidR="00206673" w14:paraId="0B545C49" w14:textId="77777777" w:rsidTr="00206673">
        <w:trPr>
          <w:trHeight w:val="413"/>
        </w:trPr>
        <w:tc>
          <w:tcPr>
            <w:tcW w:w="2605" w:type="dxa"/>
          </w:tcPr>
          <w:p w14:paraId="00F66793" w14:textId="3C92EA84" w:rsidR="00206673" w:rsidRPr="00336FDB" w:rsidRDefault="00206673" w:rsidP="00222883">
            <w:pPr>
              <w:jc w:val="both"/>
              <w:rPr>
                <w:rFonts w:ascii="Palatino Linotype" w:hAnsi="Palatino Linotype"/>
                <w:noProof/>
                <w:sz w:val="22"/>
                <w:szCs w:val="22"/>
              </w:rPr>
            </w:pPr>
            <w:r>
              <w:rPr>
                <w:rFonts w:ascii="Palatino Linotype" w:hAnsi="Palatino Linotype"/>
                <w:noProof/>
                <w:sz w:val="22"/>
                <w:szCs w:val="22"/>
              </w:rPr>
              <w:t>On-Road Diesel</w:t>
            </w:r>
          </w:p>
        </w:tc>
        <w:tc>
          <w:tcPr>
            <w:tcW w:w="6480" w:type="dxa"/>
          </w:tcPr>
          <w:p w14:paraId="5B349566" w14:textId="192475F3" w:rsidR="00206673" w:rsidRPr="00336FDB" w:rsidRDefault="00206673" w:rsidP="00222883">
            <w:pPr>
              <w:jc w:val="right"/>
              <w:rPr>
                <w:rFonts w:ascii="Palatino Linotype" w:hAnsi="Palatino Linotype"/>
                <w:noProof/>
                <w:sz w:val="22"/>
                <w:szCs w:val="22"/>
              </w:rPr>
            </w:pPr>
            <w:r w:rsidRPr="00336FDB">
              <w:rPr>
                <w:rFonts w:ascii="Palatino Linotype" w:hAnsi="Palatino Linotype"/>
                <w:noProof/>
                <w:sz w:val="22"/>
                <w:szCs w:val="22"/>
              </w:rPr>
              <w:t>-0.</w:t>
            </w:r>
            <w:r w:rsidR="00ED2D31">
              <w:rPr>
                <w:rFonts w:ascii="Palatino Linotype" w:hAnsi="Palatino Linotype"/>
                <w:noProof/>
                <w:sz w:val="22"/>
                <w:szCs w:val="22"/>
              </w:rPr>
              <w:t>243</w:t>
            </w:r>
          </w:p>
        </w:tc>
      </w:tr>
      <w:tr w:rsidR="00206673" w14:paraId="23462D57" w14:textId="77777777" w:rsidTr="00206673">
        <w:trPr>
          <w:trHeight w:val="431"/>
        </w:trPr>
        <w:tc>
          <w:tcPr>
            <w:tcW w:w="2605" w:type="dxa"/>
          </w:tcPr>
          <w:p w14:paraId="3E651FCE" w14:textId="77777777" w:rsidR="00206673" w:rsidRPr="00336FDB" w:rsidRDefault="00206673" w:rsidP="00222883">
            <w:pPr>
              <w:jc w:val="both"/>
              <w:rPr>
                <w:rFonts w:ascii="Palatino Linotype" w:hAnsi="Palatino Linotype"/>
                <w:noProof/>
                <w:sz w:val="22"/>
                <w:szCs w:val="22"/>
              </w:rPr>
            </w:pPr>
            <w:r w:rsidRPr="00336FDB">
              <w:rPr>
                <w:rFonts w:ascii="Palatino Linotype" w:hAnsi="Palatino Linotype"/>
                <w:noProof/>
                <w:sz w:val="22"/>
                <w:szCs w:val="22"/>
              </w:rPr>
              <w:t>Gasoline</w:t>
            </w:r>
          </w:p>
        </w:tc>
        <w:tc>
          <w:tcPr>
            <w:tcW w:w="6480" w:type="dxa"/>
          </w:tcPr>
          <w:p w14:paraId="183779BE" w14:textId="3E59B749" w:rsidR="00206673" w:rsidRPr="00336FDB" w:rsidRDefault="00206673" w:rsidP="00222883">
            <w:pPr>
              <w:jc w:val="right"/>
              <w:rPr>
                <w:rFonts w:ascii="Palatino Linotype" w:hAnsi="Palatino Linotype"/>
                <w:noProof/>
                <w:sz w:val="22"/>
                <w:szCs w:val="22"/>
              </w:rPr>
            </w:pPr>
            <w:r w:rsidRPr="00336FDB">
              <w:rPr>
                <w:rFonts w:ascii="Palatino Linotype" w:hAnsi="Palatino Linotype"/>
                <w:noProof/>
                <w:sz w:val="22"/>
                <w:szCs w:val="22"/>
              </w:rPr>
              <w:t>-0.</w:t>
            </w:r>
            <w:r w:rsidR="00184387">
              <w:rPr>
                <w:rFonts w:ascii="Palatino Linotype" w:hAnsi="Palatino Linotype"/>
                <w:noProof/>
                <w:sz w:val="22"/>
                <w:szCs w:val="22"/>
              </w:rPr>
              <w:t>1</w:t>
            </w:r>
            <w:r w:rsidR="00ED2D31">
              <w:rPr>
                <w:rFonts w:ascii="Palatino Linotype" w:hAnsi="Palatino Linotype"/>
                <w:noProof/>
                <w:sz w:val="22"/>
                <w:szCs w:val="22"/>
              </w:rPr>
              <w:t>35</w:t>
            </w:r>
          </w:p>
        </w:tc>
      </w:tr>
    </w:tbl>
    <w:p w14:paraId="3ACB2E65" w14:textId="77777777" w:rsidR="00E5373E" w:rsidRPr="00D369F7" w:rsidRDefault="00E5373E" w:rsidP="005538D1">
      <w:pPr>
        <w:jc w:val="both"/>
        <w:rPr>
          <w:rFonts w:ascii="Palatino Linotype" w:hAnsi="Palatino Linotype"/>
          <w:noProof/>
          <w:szCs w:val="24"/>
        </w:rPr>
      </w:pPr>
    </w:p>
    <w:p w14:paraId="1FBFB528" w14:textId="5EADC846" w:rsidR="00E5373E" w:rsidRPr="00D369F7" w:rsidRDefault="00E5373E" w:rsidP="005538D1">
      <w:pPr>
        <w:spacing w:line="360" w:lineRule="auto"/>
        <w:ind w:firstLine="720"/>
        <w:jc w:val="both"/>
        <w:rPr>
          <w:rFonts w:ascii="Palatino Linotype" w:hAnsi="Palatino Linotype"/>
          <w:noProof/>
          <w:szCs w:val="24"/>
        </w:rPr>
      </w:pPr>
      <w:r w:rsidRPr="00D369F7">
        <w:rPr>
          <w:rFonts w:ascii="Palatino Linotype" w:hAnsi="Palatino Linotype"/>
          <w:noProof/>
          <w:szCs w:val="24"/>
        </w:rPr>
        <w:t xml:space="preserve">The EIA provides historical price data for each </w:t>
      </w:r>
      <w:r>
        <w:rPr>
          <w:rFonts w:ascii="Palatino Linotype" w:hAnsi="Palatino Linotype"/>
          <w:noProof/>
          <w:szCs w:val="24"/>
        </w:rPr>
        <w:t>motor fuel in the transportation sector</w:t>
      </w:r>
      <w:r w:rsidRPr="00D369F7">
        <w:rPr>
          <w:rFonts w:ascii="Palatino Linotype" w:hAnsi="Palatino Linotype"/>
          <w:noProof/>
          <w:szCs w:val="24"/>
        </w:rPr>
        <w:t xml:space="preserve">.  However, we need to estimate the future prices of the </w:t>
      </w:r>
      <w:r>
        <w:rPr>
          <w:rFonts w:ascii="Palatino Linotype" w:hAnsi="Palatino Linotype"/>
          <w:noProof/>
          <w:szCs w:val="24"/>
        </w:rPr>
        <w:t>motor fuels</w:t>
      </w:r>
      <w:r w:rsidRPr="00D369F7">
        <w:rPr>
          <w:rFonts w:ascii="Palatino Linotype" w:hAnsi="Palatino Linotype"/>
          <w:noProof/>
          <w:szCs w:val="24"/>
        </w:rPr>
        <w:t xml:space="preserve"> for our period.  The CME Group provides futures prices for gasoline (RB) and fuel oil products (MF).</w:t>
      </w:r>
      <w:r w:rsidR="00F7229F">
        <w:rPr>
          <w:rStyle w:val="FootnoteReference"/>
          <w:rFonts w:ascii="Palatino Linotype" w:hAnsi="Palatino Linotype"/>
          <w:noProof/>
          <w:szCs w:val="24"/>
        </w:rPr>
        <w:footnoteReference w:customMarkFollows="1" w:id="49"/>
        <w:t>48</w:t>
      </w:r>
      <w:r w:rsidRPr="00D369F7">
        <w:rPr>
          <w:rFonts w:ascii="Palatino Linotype" w:hAnsi="Palatino Linotype"/>
          <w:noProof/>
          <w:szCs w:val="24"/>
        </w:rPr>
        <w:t xml:space="preserve"> We</w:t>
      </w:r>
      <w:r>
        <w:rPr>
          <w:rFonts w:ascii="Palatino Linotype" w:hAnsi="Palatino Linotype"/>
          <w:noProof/>
          <w:szCs w:val="24"/>
        </w:rPr>
        <w:t xml:space="preserve"> </w:t>
      </w:r>
      <w:r w:rsidRPr="00D369F7">
        <w:rPr>
          <w:rFonts w:ascii="Palatino Linotype" w:hAnsi="Palatino Linotype"/>
          <w:noProof/>
          <w:szCs w:val="24"/>
        </w:rPr>
        <w:t>use</w:t>
      </w:r>
      <w:r w:rsidR="00AA0287">
        <w:rPr>
          <w:rFonts w:ascii="Palatino Linotype" w:hAnsi="Palatino Linotype"/>
          <w:noProof/>
          <w:szCs w:val="24"/>
        </w:rPr>
        <w:t>d</w:t>
      </w:r>
      <w:r w:rsidRPr="00D369F7">
        <w:rPr>
          <w:rFonts w:ascii="Palatino Linotype" w:hAnsi="Palatino Linotype"/>
          <w:noProof/>
          <w:szCs w:val="24"/>
        </w:rPr>
        <w:t xml:space="preserve"> the percentage change in the futures prices to project </w:t>
      </w:r>
      <w:r>
        <w:rPr>
          <w:rFonts w:ascii="Palatino Linotype" w:hAnsi="Palatino Linotype"/>
          <w:noProof/>
          <w:szCs w:val="24"/>
        </w:rPr>
        <w:t xml:space="preserve">motor </w:t>
      </w:r>
      <w:r w:rsidRPr="00D369F7">
        <w:rPr>
          <w:rFonts w:ascii="Palatino Linotype" w:hAnsi="Palatino Linotype"/>
          <w:noProof/>
          <w:szCs w:val="24"/>
        </w:rPr>
        <w:t>fuel prices for 202</w:t>
      </w:r>
      <w:r>
        <w:rPr>
          <w:rFonts w:ascii="Palatino Linotype" w:hAnsi="Palatino Linotype"/>
          <w:noProof/>
          <w:szCs w:val="24"/>
        </w:rPr>
        <w:t>2</w:t>
      </w:r>
      <w:r w:rsidR="007077CF">
        <w:rPr>
          <w:rFonts w:ascii="Palatino Linotype" w:hAnsi="Palatino Linotype"/>
          <w:noProof/>
          <w:szCs w:val="24"/>
        </w:rPr>
        <w:t>.</w:t>
      </w:r>
      <w:r w:rsidRPr="00D369F7">
        <w:rPr>
          <w:rFonts w:ascii="Palatino Linotype" w:hAnsi="Palatino Linotype"/>
          <w:noProof/>
          <w:szCs w:val="24"/>
        </w:rPr>
        <w:t xml:space="preserve"> </w:t>
      </w:r>
    </w:p>
    <w:p w14:paraId="1895788E" w14:textId="7F06FA35" w:rsidR="00E5373E" w:rsidRPr="00D369F7" w:rsidRDefault="00E5373E" w:rsidP="005538D1">
      <w:pPr>
        <w:spacing w:line="360" w:lineRule="auto"/>
        <w:ind w:firstLine="720"/>
        <w:jc w:val="both"/>
        <w:rPr>
          <w:rFonts w:ascii="Palatino Linotype" w:hAnsi="Palatino Linotype"/>
          <w:noProof/>
          <w:szCs w:val="24"/>
        </w:rPr>
      </w:pPr>
      <w:r w:rsidRPr="00D369F7">
        <w:rPr>
          <w:rFonts w:ascii="Palatino Linotype" w:hAnsi="Palatino Linotype"/>
          <w:noProof/>
          <w:szCs w:val="24"/>
        </w:rPr>
        <w:t>The EIA provide</w:t>
      </w:r>
      <w:r>
        <w:rPr>
          <w:rFonts w:ascii="Palatino Linotype" w:hAnsi="Palatino Linotype"/>
          <w:noProof/>
          <w:szCs w:val="24"/>
        </w:rPr>
        <w:t>s</w:t>
      </w:r>
      <w:r w:rsidRPr="00D369F7">
        <w:rPr>
          <w:rFonts w:ascii="Palatino Linotype" w:hAnsi="Palatino Linotype"/>
          <w:noProof/>
          <w:szCs w:val="24"/>
        </w:rPr>
        <w:t xml:space="preserve"> carbon dioxide emissions coefficients by fuel per unit of volume and per million BTU.  We</w:t>
      </w:r>
      <w:r>
        <w:rPr>
          <w:rFonts w:ascii="Palatino Linotype" w:hAnsi="Palatino Linotype"/>
          <w:noProof/>
          <w:szCs w:val="24"/>
        </w:rPr>
        <w:t xml:space="preserve"> </w:t>
      </w:r>
      <w:r w:rsidRPr="00D369F7">
        <w:rPr>
          <w:rFonts w:ascii="Palatino Linotype" w:hAnsi="Palatino Linotype"/>
          <w:noProof/>
          <w:szCs w:val="24"/>
        </w:rPr>
        <w:t>convert</w:t>
      </w:r>
      <w:r w:rsidR="00310CFB">
        <w:rPr>
          <w:rFonts w:ascii="Palatino Linotype" w:hAnsi="Palatino Linotype"/>
          <w:noProof/>
          <w:szCs w:val="24"/>
        </w:rPr>
        <w:t>ed</w:t>
      </w:r>
      <w:r w:rsidRPr="00D369F7">
        <w:rPr>
          <w:rFonts w:ascii="Palatino Linotype" w:hAnsi="Palatino Linotype"/>
          <w:noProof/>
          <w:szCs w:val="24"/>
        </w:rPr>
        <w:t xml:space="preserve"> the emissions coefficients into metric tons for </w:t>
      </w:r>
      <w:r>
        <w:rPr>
          <w:rFonts w:ascii="Palatino Linotype" w:hAnsi="Palatino Linotype"/>
          <w:noProof/>
          <w:szCs w:val="24"/>
        </w:rPr>
        <w:t xml:space="preserve">motor fuels </w:t>
      </w:r>
      <w:r w:rsidRPr="00D369F7">
        <w:rPr>
          <w:rFonts w:ascii="Palatino Linotype" w:hAnsi="Palatino Linotype"/>
          <w:noProof/>
          <w:szCs w:val="24"/>
        </w:rPr>
        <w:t>to match the measure used in the EIA price data</w:t>
      </w:r>
      <w:r>
        <w:rPr>
          <w:rFonts w:ascii="Palatino Linotype" w:hAnsi="Palatino Linotype"/>
          <w:noProof/>
          <w:szCs w:val="24"/>
        </w:rPr>
        <w:t>.</w:t>
      </w:r>
    </w:p>
    <w:p w14:paraId="056B3F43" w14:textId="2B015BC8" w:rsidR="00EF47F2" w:rsidRPr="00EF47F2" w:rsidRDefault="00E5373E" w:rsidP="00EF47F2">
      <w:pPr>
        <w:spacing w:line="360" w:lineRule="auto"/>
        <w:ind w:firstLine="720"/>
        <w:jc w:val="both"/>
        <w:rPr>
          <w:rFonts w:ascii="Palatino Linotype" w:hAnsi="Palatino Linotype"/>
          <w:noProof/>
          <w:szCs w:val="24"/>
        </w:rPr>
      </w:pPr>
      <w:r>
        <w:rPr>
          <w:rFonts w:ascii="Palatino Linotype" w:hAnsi="Palatino Linotype"/>
          <w:noProof/>
          <w:szCs w:val="24"/>
        </w:rPr>
        <w:t xml:space="preserve">Using our price elasticity of </w:t>
      </w:r>
      <w:r w:rsidR="00310CFB">
        <w:rPr>
          <w:rFonts w:ascii="Palatino Linotype" w:hAnsi="Palatino Linotype"/>
          <w:noProof/>
          <w:szCs w:val="24"/>
        </w:rPr>
        <w:t>demand</w:t>
      </w:r>
      <w:r w:rsidR="003405EE">
        <w:rPr>
          <w:rFonts w:ascii="Palatino Linotype" w:hAnsi="Palatino Linotype"/>
          <w:noProof/>
          <w:szCs w:val="24"/>
        </w:rPr>
        <w:t>,</w:t>
      </w:r>
      <w:r>
        <w:rPr>
          <w:rFonts w:ascii="Palatino Linotype" w:hAnsi="Palatino Linotype"/>
          <w:noProof/>
          <w:szCs w:val="24"/>
        </w:rPr>
        <w:t xml:space="preserve"> w</w:t>
      </w:r>
      <w:r w:rsidRPr="00D369F7">
        <w:rPr>
          <w:rFonts w:ascii="Palatino Linotype" w:hAnsi="Palatino Linotype"/>
          <w:noProof/>
          <w:szCs w:val="24"/>
        </w:rPr>
        <w:t>e</w:t>
      </w:r>
      <w:r>
        <w:rPr>
          <w:rFonts w:ascii="Palatino Linotype" w:hAnsi="Palatino Linotype"/>
          <w:noProof/>
          <w:szCs w:val="24"/>
        </w:rPr>
        <w:t xml:space="preserve"> </w:t>
      </w:r>
      <w:r w:rsidRPr="00D369F7">
        <w:rPr>
          <w:rFonts w:ascii="Palatino Linotype" w:hAnsi="Palatino Linotype"/>
          <w:noProof/>
          <w:szCs w:val="24"/>
        </w:rPr>
        <w:t>calculate</w:t>
      </w:r>
      <w:r w:rsidR="00310CFB">
        <w:rPr>
          <w:rFonts w:ascii="Palatino Linotype" w:hAnsi="Palatino Linotype"/>
          <w:noProof/>
          <w:szCs w:val="24"/>
        </w:rPr>
        <w:t>d</w:t>
      </w:r>
      <w:r w:rsidRPr="00D369F7">
        <w:rPr>
          <w:rFonts w:ascii="Palatino Linotype" w:hAnsi="Palatino Linotype"/>
          <w:noProof/>
          <w:szCs w:val="24"/>
        </w:rPr>
        <w:t xml:space="preserve"> the price change that would result from the </w:t>
      </w:r>
      <w:r>
        <w:rPr>
          <w:rFonts w:ascii="Palatino Linotype" w:hAnsi="Palatino Linotype"/>
          <w:noProof/>
          <w:szCs w:val="24"/>
        </w:rPr>
        <w:t xml:space="preserve">cap in </w:t>
      </w:r>
      <w:r w:rsidRPr="00D369F7">
        <w:rPr>
          <w:rFonts w:ascii="Palatino Linotype" w:hAnsi="Palatino Linotype"/>
          <w:noProof/>
          <w:szCs w:val="24"/>
        </w:rPr>
        <w:t>carbon</w:t>
      </w:r>
      <w:r>
        <w:rPr>
          <w:rFonts w:ascii="Palatino Linotype" w:hAnsi="Palatino Linotype"/>
          <w:noProof/>
          <w:szCs w:val="24"/>
        </w:rPr>
        <w:t xml:space="preserve"> emissions for on-road diesel and gasoline</w:t>
      </w:r>
      <w:r w:rsidRPr="00D369F7">
        <w:rPr>
          <w:rFonts w:ascii="Palatino Linotype" w:hAnsi="Palatino Linotype"/>
          <w:noProof/>
          <w:szCs w:val="24"/>
        </w:rPr>
        <w:t>.  The</w:t>
      </w:r>
      <w:r w:rsidR="007D0B41">
        <w:rPr>
          <w:rFonts w:ascii="Palatino Linotype" w:hAnsi="Palatino Linotype"/>
          <w:noProof/>
          <w:szCs w:val="24"/>
        </w:rPr>
        <w:t xml:space="preserve"> EPA</w:t>
      </w:r>
      <w:r w:rsidRPr="00D369F7">
        <w:rPr>
          <w:rFonts w:ascii="Palatino Linotype" w:hAnsi="Palatino Linotype"/>
          <w:noProof/>
          <w:szCs w:val="24"/>
        </w:rPr>
        <w:t xml:space="preserve"> provides data on </w:t>
      </w:r>
      <w:r w:rsidR="007D0B41">
        <w:rPr>
          <w:rFonts w:ascii="Palatino Linotype" w:hAnsi="Palatino Linotype"/>
          <w:noProof/>
          <w:szCs w:val="24"/>
        </w:rPr>
        <w:t xml:space="preserve">mobile combustion </w:t>
      </w:r>
      <w:r w:rsidRPr="00D369F7">
        <w:rPr>
          <w:rFonts w:ascii="Palatino Linotype" w:hAnsi="Palatino Linotype"/>
          <w:noProof/>
          <w:szCs w:val="24"/>
        </w:rPr>
        <w:t xml:space="preserve">emissions by </w:t>
      </w:r>
      <w:r>
        <w:rPr>
          <w:rFonts w:ascii="Palatino Linotype" w:hAnsi="Palatino Linotype"/>
          <w:noProof/>
          <w:szCs w:val="24"/>
        </w:rPr>
        <w:t>motor</w:t>
      </w:r>
      <w:r w:rsidRPr="00D369F7">
        <w:rPr>
          <w:rFonts w:ascii="Palatino Linotype" w:hAnsi="Palatino Linotype"/>
          <w:noProof/>
          <w:szCs w:val="24"/>
        </w:rPr>
        <w:t xml:space="preserve"> fuel</w:t>
      </w:r>
      <w:r>
        <w:rPr>
          <w:rFonts w:ascii="Palatino Linotype" w:hAnsi="Palatino Linotype"/>
          <w:noProof/>
          <w:szCs w:val="24"/>
        </w:rPr>
        <w:t xml:space="preserve"> in the transportation sector</w:t>
      </w:r>
      <w:r w:rsidRPr="00D369F7">
        <w:rPr>
          <w:rFonts w:ascii="Palatino Linotype" w:hAnsi="Palatino Linotype"/>
          <w:noProof/>
          <w:szCs w:val="24"/>
        </w:rPr>
        <w:t xml:space="preserve">. </w:t>
      </w:r>
    </w:p>
    <w:p w14:paraId="393E9BD4" w14:textId="69674D9C" w:rsidR="00E5373E" w:rsidRPr="00D369F7" w:rsidRDefault="00E5373E" w:rsidP="005538D1">
      <w:pPr>
        <w:spacing w:line="360" w:lineRule="auto"/>
        <w:ind w:firstLine="720"/>
        <w:jc w:val="both"/>
        <w:rPr>
          <w:rFonts w:ascii="Palatino Linotype" w:hAnsi="Palatino Linotype"/>
          <w:noProof/>
          <w:szCs w:val="24"/>
        </w:rPr>
      </w:pPr>
      <w:r w:rsidRPr="00D369F7">
        <w:rPr>
          <w:rFonts w:ascii="Palatino Linotype" w:hAnsi="Palatino Linotype"/>
          <w:noProof/>
          <w:szCs w:val="24"/>
        </w:rPr>
        <w:t xml:space="preserve"> We assume that the emissions reduction</w:t>
      </w:r>
      <w:r>
        <w:rPr>
          <w:rFonts w:ascii="Palatino Linotype" w:hAnsi="Palatino Linotype"/>
          <w:noProof/>
          <w:szCs w:val="24"/>
        </w:rPr>
        <w:t xml:space="preserve"> under the cap</w:t>
      </w:r>
      <w:r w:rsidRPr="00D369F7">
        <w:rPr>
          <w:rFonts w:ascii="Palatino Linotype" w:hAnsi="Palatino Linotype"/>
          <w:noProof/>
          <w:szCs w:val="24"/>
        </w:rPr>
        <w:t xml:space="preserve"> would fall in line with the reduction in</w:t>
      </w:r>
      <w:r>
        <w:rPr>
          <w:rFonts w:ascii="Palatino Linotype" w:hAnsi="Palatino Linotype"/>
          <w:noProof/>
          <w:szCs w:val="24"/>
        </w:rPr>
        <w:t xml:space="preserve"> the supply of on-road diesel and gasoline</w:t>
      </w:r>
      <w:r w:rsidRPr="00D369F7">
        <w:rPr>
          <w:rFonts w:ascii="Palatino Linotype" w:hAnsi="Palatino Linotype"/>
          <w:noProof/>
          <w:szCs w:val="24"/>
        </w:rPr>
        <w:t xml:space="preserve">.  Thus, we </w:t>
      </w:r>
      <w:r w:rsidR="00374EB9">
        <w:rPr>
          <w:rFonts w:ascii="Palatino Linotype" w:hAnsi="Palatino Linotype"/>
          <w:noProof/>
          <w:szCs w:val="24"/>
        </w:rPr>
        <w:t xml:space="preserve">divide the </w:t>
      </w:r>
      <w:r w:rsidR="00374EB9" w:rsidRPr="00D369F7">
        <w:rPr>
          <w:rFonts w:ascii="Palatino Linotype" w:hAnsi="Palatino Linotype"/>
          <w:noProof/>
          <w:szCs w:val="24"/>
        </w:rPr>
        <w:t xml:space="preserve">percentage </w:t>
      </w:r>
      <w:r w:rsidR="00374EB9">
        <w:rPr>
          <w:rFonts w:ascii="Palatino Linotype" w:hAnsi="Palatino Linotype"/>
          <w:noProof/>
          <w:szCs w:val="24"/>
        </w:rPr>
        <w:t>decrease</w:t>
      </w:r>
      <w:r w:rsidR="00374EB9" w:rsidRPr="00D369F7">
        <w:rPr>
          <w:rFonts w:ascii="Palatino Linotype" w:hAnsi="Palatino Linotype"/>
          <w:noProof/>
          <w:szCs w:val="24"/>
        </w:rPr>
        <w:t xml:space="preserve"> in </w:t>
      </w:r>
      <w:r w:rsidR="00374EB9">
        <w:rPr>
          <w:rFonts w:ascii="Palatino Linotype" w:hAnsi="Palatino Linotype"/>
          <w:noProof/>
          <w:szCs w:val="24"/>
        </w:rPr>
        <w:t>quantity by</w:t>
      </w:r>
      <w:r w:rsidRPr="00D369F7">
        <w:rPr>
          <w:rFonts w:ascii="Palatino Linotype" w:hAnsi="Palatino Linotype"/>
          <w:noProof/>
          <w:szCs w:val="24"/>
        </w:rPr>
        <w:t xml:space="preserve"> the elasticity under the</w:t>
      </w:r>
      <w:r>
        <w:rPr>
          <w:rFonts w:ascii="Palatino Linotype" w:hAnsi="Palatino Linotype"/>
          <w:noProof/>
          <w:szCs w:val="24"/>
        </w:rPr>
        <w:t xml:space="preserve"> emissions cap</w:t>
      </w:r>
      <w:r w:rsidR="00374EB9">
        <w:rPr>
          <w:rFonts w:ascii="Palatino Linotype" w:hAnsi="Palatino Linotype"/>
          <w:noProof/>
          <w:szCs w:val="24"/>
        </w:rPr>
        <w:t xml:space="preserve"> for</w:t>
      </w:r>
      <w:r>
        <w:rPr>
          <w:rFonts w:ascii="Palatino Linotype" w:hAnsi="Palatino Linotype"/>
          <w:noProof/>
          <w:szCs w:val="24"/>
        </w:rPr>
        <w:t xml:space="preserve"> on-road diesel and gasoline</w:t>
      </w:r>
      <w:r w:rsidRPr="00D369F7">
        <w:rPr>
          <w:rFonts w:ascii="Palatino Linotype" w:hAnsi="Palatino Linotype"/>
          <w:noProof/>
          <w:szCs w:val="24"/>
        </w:rPr>
        <w:t xml:space="preserve"> and then multip</w:t>
      </w:r>
      <w:r>
        <w:rPr>
          <w:rFonts w:ascii="Palatino Linotype" w:hAnsi="Palatino Linotype"/>
          <w:noProof/>
          <w:szCs w:val="24"/>
        </w:rPr>
        <w:t>ly</w:t>
      </w:r>
      <w:r w:rsidRPr="00D369F7">
        <w:rPr>
          <w:rFonts w:ascii="Palatino Linotype" w:hAnsi="Palatino Linotype"/>
          <w:noProof/>
          <w:szCs w:val="24"/>
        </w:rPr>
        <w:t xml:space="preserve"> that result by the</w:t>
      </w:r>
      <w:r>
        <w:rPr>
          <w:rFonts w:ascii="Palatino Linotype" w:hAnsi="Palatino Linotype"/>
          <w:noProof/>
          <w:szCs w:val="24"/>
        </w:rPr>
        <w:t xml:space="preserve"> </w:t>
      </w:r>
      <w:r w:rsidR="00374EB9">
        <w:rPr>
          <w:rFonts w:ascii="Palatino Linotype" w:hAnsi="Palatino Linotype"/>
          <w:noProof/>
          <w:szCs w:val="24"/>
        </w:rPr>
        <w:t xml:space="preserve">forecasted </w:t>
      </w:r>
      <w:r>
        <w:rPr>
          <w:rFonts w:ascii="Palatino Linotype" w:hAnsi="Palatino Linotype"/>
          <w:noProof/>
          <w:szCs w:val="24"/>
        </w:rPr>
        <w:t xml:space="preserve">price without the cap </w:t>
      </w:r>
      <w:r w:rsidRPr="00D369F7">
        <w:rPr>
          <w:rFonts w:ascii="Palatino Linotype" w:hAnsi="Palatino Linotype"/>
          <w:noProof/>
          <w:szCs w:val="24"/>
        </w:rPr>
        <w:t>to get our estimate of the</w:t>
      </w:r>
      <w:r>
        <w:rPr>
          <w:rFonts w:ascii="Palatino Linotype" w:hAnsi="Palatino Linotype"/>
          <w:noProof/>
          <w:szCs w:val="24"/>
        </w:rPr>
        <w:t xml:space="preserve"> </w:t>
      </w:r>
      <w:r w:rsidR="00D6634E">
        <w:rPr>
          <w:rFonts w:ascii="Palatino Linotype" w:hAnsi="Palatino Linotype"/>
          <w:noProof/>
          <w:szCs w:val="24"/>
        </w:rPr>
        <w:t>price increas</w:t>
      </w:r>
      <w:r w:rsidR="00374EB9">
        <w:rPr>
          <w:rFonts w:ascii="Palatino Linotype" w:hAnsi="Palatino Linotype"/>
          <w:noProof/>
          <w:szCs w:val="24"/>
        </w:rPr>
        <w:t>e</w:t>
      </w:r>
      <w:r w:rsidRPr="00D369F7">
        <w:rPr>
          <w:rFonts w:ascii="Palatino Linotype" w:hAnsi="Palatino Linotype"/>
          <w:noProof/>
          <w:szCs w:val="24"/>
        </w:rPr>
        <w:t xml:space="preserve">. </w:t>
      </w:r>
      <w:r w:rsidR="00702F03" w:rsidRPr="00EF47F2">
        <w:rPr>
          <w:rFonts w:ascii="Palatino Linotype" w:hAnsi="Palatino Linotype"/>
          <w:noProof/>
          <w:szCs w:val="24"/>
        </w:rPr>
        <w:t xml:space="preserve">For example, we multiplied the </w:t>
      </w:r>
      <w:r w:rsidR="00702F03">
        <w:rPr>
          <w:rFonts w:ascii="Palatino Linotype" w:hAnsi="Palatino Linotype"/>
          <w:noProof/>
          <w:szCs w:val="24"/>
        </w:rPr>
        <w:t>decrease in the quantity of gas</w:t>
      </w:r>
      <w:r w:rsidR="00D6634E">
        <w:rPr>
          <w:rFonts w:ascii="Palatino Linotype" w:hAnsi="Palatino Linotype"/>
          <w:noProof/>
          <w:szCs w:val="24"/>
        </w:rPr>
        <w:t>o</w:t>
      </w:r>
      <w:r w:rsidR="00702F03">
        <w:rPr>
          <w:rFonts w:ascii="Palatino Linotype" w:hAnsi="Palatino Linotype"/>
          <w:noProof/>
          <w:szCs w:val="24"/>
        </w:rPr>
        <w:t xml:space="preserve">line </w:t>
      </w:r>
      <w:r w:rsidR="00702F03" w:rsidRPr="00EF47F2">
        <w:rPr>
          <w:rFonts w:ascii="Palatino Linotype" w:hAnsi="Palatino Linotype"/>
          <w:noProof/>
          <w:szCs w:val="24"/>
        </w:rPr>
        <w:t>(</w:t>
      </w:r>
      <w:r w:rsidR="00702F03">
        <w:rPr>
          <w:rFonts w:ascii="Palatino Linotype" w:hAnsi="Palatino Linotype"/>
          <w:noProof/>
          <w:szCs w:val="24"/>
        </w:rPr>
        <w:t>1.38</w:t>
      </w:r>
      <w:r w:rsidR="00702F03" w:rsidRPr="00EF47F2">
        <w:rPr>
          <w:rFonts w:ascii="Palatino Linotype" w:hAnsi="Palatino Linotype"/>
          <w:noProof/>
          <w:szCs w:val="24"/>
        </w:rPr>
        <w:t xml:space="preserve"> percent)</w:t>
      </w:r>
      <w:r w:rsidR="00D617EE">
        <w:rPr>
          <w:rFonts w:ascii="Palatino Linotype" w:hAnsi="Palatino Linotype"/>
          <w:noProof/>
          <w:szCs w:val="24"/>
        </w:rPr>
        <w:t xml:space="preserve"> under a 20 percent cap</w:t>
      </w:r>
      <w:r w:rsidR="00702F03" w:rsidRPr="00EF47F2">
        <w:rPr>
          <w:rFonts w:ascii="Palatino Linotype" w:hAnsi="Palatino Linotype"/>
          <w:noProof/>
          <w:szCs w:val="24"/>
        </w:rPr>
        <w:t xml:space="preserve"> by the elasticity for gasoline (-0.</w:t>
      </w:r>
      <w:r w:rsidR="00D617EE">
        <w:rPr>
          <w:rFonts w:ascii="Palatino Linotype" w:hAnsi="Palatino Linotype"/>
          <w:noProof/>
          <w:szCs w:val="24"/>
        </w:rPr>
        <w:t>135</w:t>
      </w:r>
      <w:r w:rsidR="00702F03" w:rsidRPr="00EF47F2">
        <w:rPr>
          <w:rFonts w:ascii="Palatino Linotype" w:hAnsi="Palatino Linotype"/>
          <w:noProof/>
          <w:szCs w:val="24"/>
        </w:rPr>
        <w:t>)</w:t>
      </w:r>
      <w:r w:rsidR="00702F03">
        <w:rPr>
          <w:rFonts w:ascii="Palatino Linotype" w:hAnsi="Palatino Linotype"/>
          <w:noProof/>
          <w:szCs w:val="24"/>
        </w:rPr>
        <w:t xml:space="preserve"> to calculate the increase </w:t>
      </w:r>
      <w:r w:rsidR="007077CF">
        <w:rPr>
          <w:rFonts w:ascii="Palatino Linotype" w:hAnsi="Palatino Linotype"/>
          <w:noProof/>
          <w:szCs w:val="24"/>
        </w:rPr>
        <w:t>in</w:t>
      </w:r>
      <w:r w:rsidR="00702F03">
        <w:rPr>
          <w:rFonts w:ascii="Palatino Linotype" w:hAnsi="Palatino Linotype"/>
          <w:noProof/>
          <w:szCs w:val="24"/>
        </w:rPr>
        <w:t xml:space="preserve"> the price in gasoline of </w:t>
      </w:r>
      <w:r w:rsidR="00D617EE">
        <w:rPr>
          <w:rFonts w:ascii="Palatino Linotype" w:hAnsi="Palatino Linotype"/>
          <w:noProof/>
          <w:szCs w:val="24"/>
        </w:rPr>
        <w:t>23</w:t>
      </w:r>
      <w:r w:rsidR="00702F03">
        <w:rPr>
          <w:rFonts w:ascii="Palatino Linotype" w:hAnsi="Palatino Linotype"/>
          <w:noProof/>
          <w:szCs w:val="24"/>
        </w:rPr>
        <w:t xml:space="preserve"> cents in 2022</w:t>
      </w:r>
      <w:r w:rsidR="00702F03" w:rsidRPr="00EF47F2">
        <w:rPr>
          <w:rFonts w:ascii="Palatino Linotype" w:hAnsi="Palatino Linotype"/>
          <w:noProof/>
          <w:szCs w:val="24"/>
        </w:rPr>
        <w:t>. Once again, this process was repeated for</w:t>
      </w:r>
      <w:r w:rsidR="00702F03">
        <w:rPr>
          <w:rFonts w:ascii="Palatino Linotype" w:hAnsi="Palatino Linotype"/>
          <w:noProof/>
          <w:szCs w:val="24"/>
        </w:rPr>
        <w:t xml:space="preserve"> on-road diesel fuels</w:t>
      </w:r>
      <w:r w:rsidR="00702F03" w:rsidRPr="00EF47F2">
        <w:rPr>
          <w:rFonts w:ascii="Palatino Linotype" w:hAnsi="Palatino Linotype"/>
          <w:noProof/>
          <w:szCs w:val="24"/>
        </w:rPr>
        <w:t xml:space="preserve">. </w:t>
      </w:r>
      <w:r w:rsidRPr="00D369F7">
        <w:rPr>
          <w:rFonts w:ascii="Palatino Linotype" w:hAnsi="Palatino Linotype"/>
          <w:noProof/>
          <w:szCs w:val="24"/>
        </w:rPr>
        <w:t xml:space="preserve"> </w:t>
      </w:r>
    </w:p>
    <w:p w14:paraId="31ECEF5B" w14:textId="5BD396CE" w:rsidR="00E5373E" w:rsidRPr="00D369F7" w:rsidRDefault="00E5373E" w:rsidP="005538D1">
      <w:pPr>
        <w:spacing w:line="360" w:lineRule="auto"/>
        <w:ind w:firstLine="720"/>
        <w:jc w:val="both"/>
        <w:rPr>
          <w:rFonts w:ascii="Palatino Linotype" w:hAnsi="Palatino Linotype"/>
          <w:noProof/>
          <w:szCs w:val="24"/>
        </w:rPr>
      </w:pPr>
      <w:r w:rsidRPr="00D369F7">
        <w:rPr>
          <w:rFonts w:ascii="Palatino Linotype" w:hAnsi="Palatino Linotype"/>
          <w:noProof/>
          <w:szCs w:val="24"/>
        </w:rPr>
        <w:t xml:space="preserve">Next, we </w:t>
      </w:r>
      <w:r>
        <w:rPr>
          <w:rFonts w:ascii="Palatino Linotype" w:hAnsi="Palatino Linotype"/>
          <w:noProof/>
          <w:szCs w:val="24"/>
        </w:rPr>
        <w:t>insert</w:t>
      </w:r>
      <w:r w:rsidRPr="00D369F7">
        <w:rPr>
          <w:rFonts w:ascii="Palatino Linotype" w:hAnsi="Palatino Linotype"/>
          <w:noProof/>
          <w:szCs w:val="24"/>
        </w:rPr>
        <w:t xml:space="preserve"> the </w:t>
      </w:r>
      <w:r>
        <w:rPr>
          <w:rFonts w:ascii="Palatino Linotype" w:hAnsi="Palatino Linotype"/>
          <w:noProof/>
          <w:szCs w:val="24"/>
        </w:rPr>
        <w:t>increase in the price of on-road diesel and gasoline</w:t>
      </w:r>
      <w:r w:rsidRPr="00D369F7">
        <w:rPr>
          <w:rFonts w:ascii="Palatino Linotype" w:hAnsi="Palatino Linotype"/>
          <w:noProof/>
          <w:szCs w:val="24"/>
        </w:rPr>
        <w:t xml:space="preserve"> that would </w:t>
      </w:r>
      <w:r>
        <w:rPr>
          <w:rFonts w:ascii="Palatino Linotype" w:hAnsi="Palatino Linotype"/>
          <w:noProof/>
          <w:szCs w:val="24"/>
        </w:rPr>
        <w:t xml:space="preserve">result </w:t>
      </w:r>
      <w:r w:rsidR="007077CF">
        <w:rPr>
          <w:rFonts w:ascii="Palatino Linotype" w:hAnsi="Palatino Linotype"/>
          <w:noProof/>
          <w:szCs w:val="24"/>
        </w:rPr>
        <w:t>under</w:t>
      </w:r>
      <w:r w:rsidRPr="00D369F7">
        <w:rPr>
          <w:rFonts w:ascii="Palatino Linotype" w:hAnsi="Palatino Linotype"/>
          <w:noProof/>
          <w:szCs w:val="24"/>
        </w:rPr>
        <w:t xml:space="preserve"> the proposed</w:t>
      </w:r>
      <w:r>
        <w:rPr>
          <w:rFonts w:ascii="Palatino Linotype" w:hAnsi="Palatino Linotype"/>
          <w:noProof/>
          <w:szCs w:val="24"/>
        </w:rPr>
        <w:t xml:space="preserve"> emissions cap into our models</w:t>
      </w:r>
      <w:r w:rsidRPr="00D369F7">
        <w:rPr>
          <w:rFonts w:ascii="Palatino Linotype" w:hAnsi="Palatino Linotype"/>
          <w:noProof/>
          <w:szCs w:val="24"/>
        </w:rPr>
        <w:t>.</w:t>
      </w:r>
    </w:p>
    <w:p w14:paraId="4FB9240C" w14:textId="77777777" w:rsidR="006344DB" w:rsidRDefault="006344DB" w:rsidP="00367109">
      <w:pPr>
        <w:jc w:val="both"/>
        <w:rPr>
          <w:rFonts w:ascii="Palatino Linotype" w:hAnsi="Palatino Linotype"/>
          <w:noProof/>
          <w:szCs w:val="24"/>
        </w:rPr>
      </w:pPr>
    </w:p>
    <w:p w14:paraId="0CA8B435" w14:textId="77777777" w:rsidR="006344DB" w:rsidRDefault="006344DB" w:rsidP="00367109">
      <w:pPr>
        <w:jc w:val="both"/>
        <w:rPr>
          <w:rFonts w:ascii="Palatino Linotype" w:hAnsi="Palatino Linotype"/>
          <w:noProof/>
          <w:szCs w:val="24"/>
        </w:rPr>
      </w:pPr>
    </w:p>
    <w:p w14:paraId="3F16128C" w14:textId="03C5A85F" w:rsidR="00414D0E" w:rsidRDefault="00A3489F">
      <w:pPr>
        <w:rPr>
          <w:rFonts w:ascii="Palatino Linotype" w:hAnsi="Palatino Linotype"/>
          <w:noProof/>
          <w:szCs w:val="24"/>
        </w:rPr>
      </w:pPr>
      <w:r>
        <w:rPr>
          <w:rFonts w:ascii="Palatino Linotype" w:hAnsi="Palatino Linotype"/>
          <w:noProof/>
          <w:szCs w:val="24"/>
        </w:rPr>
        <w:br w:type="page"/>
      </w:r>
    </w:p>
    <w:p w14:paraId="6002E1B4" w14:textId="77777777" w:rsidR="003C0E51" w:rsidRDefault="00A3489F" w:rsidP="00F96605">
      <w:pPr>
        <w:autoSpaceDE w:val="0"/>
        <w:autoSpaceDN w:val="0"/>
        <w:adjustRightInd w:val="0"/>
      </w:pPr>
      <w:r>
        <w:rPr>
          <w:rFonts w:ascii="Palatino Linotype" w:hAnsi="Palatino Linotype"/>
          <w:noProof/>
          <w:szCs w:val="24"/>
        </w:rPr>
        <w:lastRenderedPageBreak/>
        <w:t xml:space="preserve">The </w:t>
      </w:r>
      <w:r w:rsidRPr="00C8735F">
        <w:rPr>
          <w:rFonts w:ascii="Palatino Linotype" w:hAnsi="Palatino Linotype"/>
          <w:b/>
          <w:bCs/>
          <w:noProof/>
          <w:szCs w:val="24"/>
        </w:rPr>
        <w:t xml:space="preserve">Beacon Hill </w:t>
      </w:r>
      <w:r w:rsidRPr="00C8735F">
        <w:rPr>
          <w:rFonts w:ascii="Palatino Linotype" w:hAnsi="Palatino Linotype"/>
          <w:b/>
          <w:bCs/>
        </w:rPr>
        <w:t>Institute</w:t>
      </w:r>
      <w:r w:rsidRPr="002C16CF">
        <w:rPr>
          <w:rFonts w:ascii="Palatino Linotype" w:hAnsi="Palatino Linotype"/>
        </w:rPr>
        <w:t xml:space="preserve"> conducts research and educational programs to provide timely, </w:t>
      </w:r>
      <w:proofErr w:type="gramStart"/>
      <w:r w:rsidRPr="002C16CF">
        <w:rPr>
          <w:rFonts w:ascii="Palatino Linotype" w:hAnsi="Palatino Linotype"/>
        </w:rPr>
        <w:t>concise</w:t>
      </w:r>
      <w:proofErr w:type="gramEnd"/>
      <w:r w:rsidRPr="002C16CF">
        <w:rPr>
          <w:rFonts w:ascii="Palatino Linotype" w:hAnsi="Palatino Linotype"/>
        </w:rPr>
        <w:t xml:space="preserve"> and readable analyses that help voters, policymakers and opinion leaders understand today’s leading public policy issues.  </w:t>
      </w:r>
    </w:p>
    <w:p w14:paraId="1CBF5988" w14:textId="77777777" w:rsidR="00CA08AB" w:rsidRDefault="00CA08AB" w:rsidP="004E6F4D">
      <w:pPr>
        <w:autoSpaceDE w:val="0"/>
        <w:autoSpaceDN w:val="0"/>
        <w:adjustRightInd w:val="0"/>
        <w:jc w:val="center"/>
        <w:rPr>
          <w:rFonts w:ascii="Palatino Linotype" w:hAnsi="Palatino Linotype"/>
        </w:rPr>
      </w:pPr>
    </w:p>
    <w:p w14:paraId="5E6941F3" w14:textId="0713C6D4" w:rsidR="004E6F4D" w:rsidRPr="002C16CF" w:rsidRDefault="00A3489F" w:rsidP="004E6F4D">
      <w:pPr>
        <w:autoSpaceDE w:val="0"/>
        <w:autoSpaceDN w:val="0"/>
        <w:adjustRightInd w:val="0"/>
        <w:jc w:val="center"/>
        <w:rPr>
          <w:rFonts w:ascii="Palatino Linotype" w:hAnsi="Palatino Linotype"/>
        </w:rPr>
      </w:pPr>
      <w:r w:rsidRPr="002C16CF">
        <w:rPr>
          <w:rFonts w:ascii="Palatino Linotype" w:hAnsi="Palatino Linotype"/>
        </w:rPr>
        <w:t>©</w:t>
      </w:r>
      <w:r w:rsidR="00DD3C45">
        <w:rPr>
          <w:rFonts w:ascii="Palatino Linotype" w:hAnsi="Palatino Linotype"/>
        </w:rPr>
        <w:t>November</w:t>
      </w:r>
      <w:r w:rsidR="00BF78AF">
        <w:rPr>
          <w:rFonts w:ascii="Palatino Linotype" w:hAnsi="Palatino Linotype"/>
        </w:rPr>
        <w:t xml:space="preserve"> 2020</w:t>
      </w:r>
      <w:r w:rsidRPr="002C16CF">
        <w:rPr>
          <w:rFonts w:ascii="Palatino Linotype" w:hAnsi="Palatino Linotype"/>
        </w:rPr>
        <w:t xml:space="preserve"> by the Beacon Hill Institute </w:t>
      </w:r>
    </w:p>
    <w:p w14:paraId="23117228" w14:textId="77777777" w:rsidR="004E6F4D" w:rsidRDefault="004E6F4D" w:rsidP="003C0E51">
      <w:pPr>
        <w:pStyle w:val="EndnoteText"/>
      </w:pPr>
    </w:p>
    <w:p w14:paraId="6F55243F" w14:textId="77777777" w:rsidR="003C0E51" w:rsidRDefault="00A3489F" w:rsidP="00B518E1">
      <w:pPr>
        <w:pStyle w:val="EndnoteText"/>
        <w:jc w:val="center"/>
      </w:pPr>
      <w:r>
        <w:rPr>
          <w:noProof/>
        </w:rPr>
        <w:drawing>
          <wp:inline distT="0" distB="0" distL="0" distR="0" wp14:anchorId="2B23A683" wp14:editId="2E200682">
            <wp:extent cx="1984248" cy="1792224"/>
            <wp:effectExtent l="0" t="0" r="0" b="0"/>
            <wp:docPr id="432780170" name="Picture 9" descr="C:\Users\pbachman\AppData\Local\Microsoft\Windows\Temporary Internet Files\Content.Outlook\G1W7W7H4\NEW-bhilogoat30pct2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4248" cy="1792224"/>
                    </a:xfrm>
                    <a:prstGeom prst="rect">
                      <a:avLst/>
                    </a:prstGeom>
                  </pic:spPr>
                </pic:pic>
              </a:graphicData>
            </a:graphic>
          </wp:inline>
        </w:drawing>
      </w:r>
    </w:p>
    <w:p w14:paraId="39D8F56F" w14:textId="77777777" w:rsidR="003C0E51" w:rsidRPr="00CA08AB" w:rsidRDefault="00A3489F" w:rsidP="003C0E51">
      <w:pPr>
        <w:autoSpaceDE w:val="0"/>
        <w:autoSpaceDN w:val="0"/>
        <w:adjustRightInd w:val="0"/>
        <w:jc w:val="center"/>
        <w:rPr>
          <w:rFonts w:ascii="Palatino Linotype" w:hAnsi="Palatino Linotype" w:cs="Palatino-Bold"/>
          <w:b/>
          <w:bCs/>
          <w:sz w:val="18"/>
          <w:szCs w:val="18"/>
        </w:rPr>
      </w:pPr>
      <w:r w:rsidRPr="00CA08AB">
        <w:rPr>
          <w:rFonts w:ascii="Palatino Linotype" w:hAnsi="Palatino Linotype" w:cs="Palatino-Bold"/>
          <w:b/>
          <w:bCs/>
          <w:sz w:val="18"/>
          <w:szCs w:val="18"/>
        </w:rPr>
        <w:t>The Beacon Hill Institute for Public Policy Research</w:t>
      </w:r>
    </w:p>
    <w:p w14:paraId="534C651C" w14:textId="77777777" w:rsidR="003C0E51" w:rsidRPr="00CA08AB" w:rsidRDefault="00A3489F" w:rsidP="003C0E51">
      <w:pPr>
        <w:autoSpaceDE w:val="0"/>
        <w:autoSpaceDN w:val="0"/>
        <w:adjustRightInd w:val="0"/>
        <w:jc w:val="center"/>
        <w:rPr>
          <w:rFonts w:ascii="Palatino Linotype" w:hAnsi="Palatino Linotype" w:cs="Palatino-Bold"/>
          <w:b/>
          <w:bCs/>
          <w:sz w:val="18"/>
          <w:szCs w:val="18"/>
        </w:rPr>
      </w:pPr>
      <w:r w:rsidRPr="00CA08AB">
        <w:rPr>
          <w:rFonts w:ascii="Palatino Linotype" w:hAnsi="Palatino Linotype" w:cs="Palatino-Bold"/>
          <w:b/>
          <w:bCs/>
          <w:sz w:val="18"/>
          <w:szCs w:val="18"/>
        </w:rPr>
        <w:t xml:space="preserve">165 Main Street, Suite 306, </w:t>
      </w:r>
    </w:p>
    <w:p w14:paraId="34CFCF72" w14:textId="77777777" w:rsidR="003C0E51" w:rsidRPr="00CA08AB" w:rsidRDefault="00A3489F" w:rsidP="003C0E51">
      <w:pPr>
        <w:autoSpaceDE w:val="0"/>
        <w:autoSpaceDN w:val="0"/>
        <w:adjustRightInd w:val="0"/>
        <w:jc w:val="center"/>
        <w:rPr>
          <w:rFonts w:ascii="Palatino Linotype" w:hAnsi="Palatino Linotype" w:cs="Palatino-Bold"/>
          <w:b/>
          <w:bCs/>
          <w:sz w:val="18"/>
          <w:szCs w:val="18"/>
        </w:rPr>
      </w:pPr>
      <w:r w:rsidRPr="00CA08AB">
        <w:rPr>
          <w:rFonts w:ascii="Palatino Linotype" w:hAnsi="Palatino Linotype" w:cs="Palatino-Bold"/>
          <w:b/>
          <w:bCs/>
          <w:sz w:val="18"/>
          <w:szCs w:val="18"/>
        </w:rPr>
        <w:t>Medway, MA 02053</w:t>
      </w:r>
    </w:p>
    <w:p w14:paraId="23560DF3" w14:textId="77777777" w:rsidR="003C0E51" w:rsidRPr="00CA08AB" w:rsidRDefault="00A3489F" w:rsidP="003C0E51">
      <w:pPr>
        <w:autoSpaceDE w:val="0"/>
        <w:autoSpaceDN w:val="0"/>
        <w:adjustRightInd w:val="0"/>
        <w:jc w:val="center"/>
        <w:rPr>
          <w:rFonts w:ascii="Palatino Linotype" w:hAnsi="Palatino Linotype" w:cs="Palatino-Bold"/>
          <w:b/>
          <w:bCs/>
          <w:sz w:val="18"/>
          <w:szCs w:val="18"/>
        </w:rPr>
      </w:pPr>
      <w:r w:rsidRPr="00CA08AB">
        <w:rPr>
          <w:rFonts w:ascii="Palatino Linotype" w:hAnsi="Palatino Linotype" w:cs="Palatino-Bold"/>
          <w:b/>
          <w:bCs/>
          <w:sz w:val="18"/>
          <w:szCs w:val="18"/>
        </w:rPr>
        <w:t>Tel: 855-244-4550</w:t>
      </w:r>
    </w:p>
    <w:p w14:paraId="3761EC55" w14:textId="77777777" w:rsidR="003C0E51" w:rsidRPr="00CA08AB" w:rsidRDefault="00A3489F" w:rsidP="003C0E51">
      <w:pPr>
        <w:autoSpaceDE w:val="0"/>
        <w:autoSpaceDN w:val="0"/>
        <w:adjustRightInd w:val="0"/>
        <w:jc w:val="center"/>
        <w:rPr>
          <w:rFonts w:ascii="Palatino Linotype" w:hAnsi="Palatino Linotype" w:cs="Palatino-Bold"/>
          <w:b/>
          <w:bCs/>
          <w:sz w:val="18"/>
          <w:szCs w:val="18"/>
        </w:rPr>
      </w:pPr>
      <w:r w:rsidRPr="00CA08AB">
        <w:rPr>
          <w:rFonts w:ascii="Palatino Linotype" w:hAnsi="Palatino Linotype" w:cs="Palatino-Bold"/>
          <w:b/>
          <w:bCs/>
          <w:sz w:val="18"/>
          <w:szCs w:val="18"/>
        </w:rPr>
        <w:t>Email: bhi@beaconhill.org</w:t>
      </w:r>
    </w:p>
    <w:p w14:paraId="42B4568A" w14:textId="1DA67BCD" w:rsidR="003305E2" w:rsidRDefault="00A3489F" w:rsidP="001266E5">
      <w:pPr>
        <w:autoSpaceDE w:val="0"/>
        <w:autoSpaceDN w:val="0"/>
        <w:adjustRightInd w:val="0"/>
        <w:jc w:val="center"/>
        <w:rPr>
          <w:rFonts w:ascii="Palatino" w:hAnsi="Palatino"/>
          <w:sz w:val="18"/>
          <w:szCs w:val="18"/>
        </w:rPr>
      </w:pPr>
      <w:r w:rsidRPr="00CA08AB">
        <w:rPr>
          <w:rFonts w:ascii="Palatino Linotype" w:hAnsi="Palatino Linotype" w:cs="Palatino-Bold"/>
          <w:b/>
          <w:bCs/>
          <w:sz w:val="18"/>
          <w:szCs w:val="18"/>
        </w:rPr>
        <w:t>Web: www.beaconhill.org</w:t>
      </w:r>
      <w:r w:rsidRPr="00CA08AB">
        <w:rPr>
          <w:rFonts w:ascii="Palatino" w:hAnsi="Palatino"/>
          <w:sz w:val="18"/>
          <w:szCs w:val="18"/>
        </w:rPr>
        <w:t xml:space="preserve"> </w:t>
      </w:r>
    </w:p>
    <w:p w14:paraId="16E82165" w14:textId="6CAA73FE" w:rsidR="00586189" w:rsidRDefault="00F34659" w:rsidP="00F34659">
      <w:pPr>
        <w:tabs>
          <w:tab w:val="left" w:pos="5450"/>
        </w:tabs>
        <w:autoSpaceDE w:val="0"/>
        <w:autoSpaceDN w:val="0"/>
        <w:adjustRightInd w:val="0"/>
        <w:jc w:val="center"/>
        <w:rPr>
          <w:rFonts w:ascii="Palatino" w:hAnsi="Palatino"/>
          <w:sz w:val="18"/>
          <w:szCs w:val="18"/>
        </w:rPr>
      </w:pPr>
      <w:r>
        <w:rPr>
          <w:rFonts w:ascii="Palatino" w:hAnsi="Palatino"/>
          <w:sz w:val="18"/>
          <w:szCs w:val="18"/>
        </w:rPr>
        <w:t>*****</w:t>
      </w:r>
    </w:p>
    <w:p w14:paraId="58CB7476" w14:textId="3E2E4700" w:rsidR="00586189" w:rsidRDefault="00586189" w:rsidP="00586189">
      <w:pPr>
        <w:autoSpaceDE w:val="0"/>
        <w:autoSpaceDN w:val="0"/>
        <w:adjustRightInd w:val="0"/>
        <w:rPr>
          <w:rFonts w:ascii="Palatino Linotype" w:hAnsi="Palatino Linotype"/>
          <w:szCs w:val="24"/>
        </w:rPr>
      </w:pPr>
      <w:r>
        <w:rPr>
          <w:rFonts w:ascii="Palatino Linotype" w:hAnsi="Palatino Linotype"/>
          <w:szCs w:val="24"/>
        </w:rPr>
        <w:t xml:space="preserve">The </w:t>
      </w:r>
      <w:r w:rsidRPr="00C8735F">
        <w:rPr>
          <w:rFonts w:ascii="Palatino Linotype" w:hAnsi="Palatino Linotype"/>
          <w:b/>
          <w:bCs/>
          <w:szCs w:val="24"/>
        </w:rPr>
        <w:t>Thomas Jefferson Institute for Public Policy</w:t>
      </w:r>
      <w:r w:rsidR="00C43492">
        <w:rPr>
          <w:rFonts w:ascii="Palatino Linotype" w:hAnsi="Palatino Linotype"/>
          <w:szCs w:val="24"/>
        </w:rPr>
        <w:t xml:space="preserve"> crafts and promotes public policy solutions designed to advance prosperity and opportunity for all Virginians</w:t>
      </w:r>
      <w:r w:rsidR="00635D84">
        <w:rPr>
          <w:rFonts w:ascii="Palatino Linotype" w:hAnsi="Palatino Linotype"/>
          <w:szCs w:val="24"/>
        </w:rPr>
        <w:t>.</w:t>
      </w:r>
    </w:p>
    <w:p w14:paraId="25EC246E" w14:textId="6B5A3741" w:rsidR="00635D84" w:rsidRDefault="00F34659" w:rsidP="00635D84">
      <w:pPr>
        <w:autoSpaceDE w:val="0"/>
        <w:autoSpaceDN w:val="0"/>
        <w:adjustRightInd w:val="0"/>
        <w:jc w:val="center"/>
        <w:rPr>
          <w:rFonts w:ascii="Palatino Linotype" w:hAnsi="Palatino Linotype"/>
          <w:szCs w:val="24"/>
        </w:rPr>
      </w:pPr>
      <w:r>
        <w:rPr>
          <w:noProof/>
        </w:rPr>
        <w:drawing>
          <wp:inline distT="0" distB="0" distL="0" distR="0" wp14:anchorId="00ABD5CA" wp14:editId="7822D534">
            <wp:extent cx="1828800"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7F06B31E" w14:textId="1682D5BD" w:rsidR="00D11D95" w:rsidRPr="00D12DE9" w:rsidRDefault="00D11D95" w:rsidP="00635D84">
      <w:pPr>
        <w:autoSpaceDE w:val="0"/>
        <w:autoSpaceDN w:val="0"/>
        <w:adjustRightInd w:val="0"/>
        <w:jc w:val="center"/>
        <w:rPr>
          <w:rFonts w:ascii="Palatino Linotype" w:hAnsi="Palatino Linotype"/>
          <w:b/>
          <w:bCs/>
          <w:sz w:val="18"/>
          <w:szCs w:val="18"/>
        </w:rPr>
      </w:pPr>
      <w:r w:rsidRPr="00D12DE9">
        <w:rPr>
          <w:rFonts w:ascii="Palatino Linotype" w:hAnsi="Palatino Linotype"/>
          <w:b/>
          <w:bCs/>
          <w:sz w:val="18"/>
          <w:szCs w:val="18"/>
        </w:rPr>
        <w:t>The Thomas Jefferson Institute for Public Policy</w:t>
      </w:r>
    </w:p>
    <w:p w14:paraId="344E650A" w14:textId="5288D792" w:rsidR="00D11D95" w:rsidRPr="00D12DE9" w:rsidRDefault="00D11D95" w:rsidP="00635D84">
      <w:pPr>
        <w:autoSpaceDE w:val="0"/>
        <w:autoSpaceDN w:val="0"/>
        <w:adjustRightInd w:val="0"/>
        <w:jc w:val="center"/>
        <w:rPr>
          <w:rFonts w:ascii="Palatino Linotype" w:hAnsi="Palatino Linotype"/>
          <w:b/>
          <w:bCs/>
          <w:sz w:val="18"/>
          <w:szCs w:val="18"/>
        </w:rPr>
      </w:pPr>
      <w:r w:rsidRPr="00D12DE9">
        <w:rPr>
          <w:rFonts w:ascii="Palatino Linotype" w:hAnsi="Palatino Linotype"/>
          <w:b/>
          <w:bCs/>
          <w:sz w:val="18"/>
          <w:szCs w:val="18"/>
        </w:rPr>
        <w:t>7011 Dreams Way Court</w:t>
      </w:r>
    </w:p>
    <w:p w14:paraId="66C2D068" w14:textId="65A118E9" w:rsidR="00D11D95" w:rsidRPr="00D12DE9" w:rsidRDefault="00D11D95" w:rsidP="00635D84">
      <w:pPr>
        <w:autoSpaceDE w:val="0"/>
        <w:autoSpaceDN w:val="0"/>
        <w:adjustRightInd w:val="0"/>
        <w:jc w:val="center"/>
        <w:rPr>
          <w:rFonts w:ascii="Palatino Linotype" w:hAnsi="Palatino Linotype"/>
          <w:b/>
          <w:bCs/>
          <w:sz w:val="18"/>
          <w:szCs w:val="18"/>
        </w:rPr>
      </w:pPr>
      <w:r w:rsidRPr="00D12DE9">
        <w:rPr>
          <w:rFonts w:ascii="Palatino Linotype" w:hAnsi="Palatino Linotype"/>
          <w:b/>
          <w:bCs/>
          <w:sz w:val="18"/>
          <w:szCs w:val="18"/>
        </w:rPr>
        <w:t>Alexandria, VA  22315</w:t>
      </w:r>
    </w:p>
    <w:p w14:paraId="70458DA4" w14:textId="6AE1C6A9" w:rsidR="00D11D95" w:rsidRPr="00D12DE9" w:rsidRDefault="00D11D95" w:rsidP="00635D84">
      <w:pPr>
        <w:autoSpaceDE w:val="0"/>
        <w:autoSpaceDN w:val="0"/>
        <w:adjustRightInd w:val="0"/>
        <w:jc w:val="center"/>
        <w:rPr>
          <w:rFonts w:ascii="Palatino Linotype" w:hAnsi="Palatino Linotype"/>
          <w:b/>
          <w:bCs/>
          <w:color w:val="0D0D0D" w:themeColor="text1" w:themeTint="F2"/>
          <w:sz w:val="18"/>
          <w:szCs w:val="18"/>
        </w:rPr>
      </w:pPr>
      <w:r w:rsidRPr="00D12DE9">
        <w:rPr>
          <w:rFonts w:ascii="Palatino Linotype" w:hAnsi="Palatino Linotype"/>
          <w:b/>
          <w:bCs/>
          <w:color w:val="0D0D0D" w:themeColor="text1" w:themeTint="F2"/>
          <w:sz w:val="18"/>
          <w:szCs w:val="18"/>
        </w:rPr>
        <w:t>Tel</w:t>
      </w:r>
      <w:proofErr w:type="gramStart"/>
      <w:r w:rsidRPr="00D12DE9">
        <w:rPr>
          <w:rFonts w:ascii="Palatino Linotype" w:hAnsi="Palatino Linotype"/>
          <w:b/>
          <w:bCs/>
          <w:color w:val="0D0D0D" w:themeColor="text1" w:themeTint="F2"/>
          <w:sz w:val="18"/>
          <w:szCs w:val="18"/>
        </w:rPr>
        <w:t>:  (</w:t>
      </w:r>
      <w:proofErr w:type="gramEnd"/>
      <w:r w:rsidRPr="00D12DE9">
        <w:rPr>
          <w:rFonts w:ascii="Palatino Linotype" w:hAnsi="Palatino Linotype"/>
          <w:b/>
          <w:bCs/>
          <w:color w:val="0D0D0D" w:themeColor="text1" w:themeTint="F2"/>
          <w:sz w:val="18"/>
          <w:szCs w:val="18"/>
        </w:rPr>
        <w:t>703) 440-9447</w:t>
      </w:r>
    </w:p>
    <w:p w14:paraId="728F3349" w14:textId="03A36361" w:rsidR="00D11D95" w:rsidRPr="00D12DE9" w:rsidRDefault="00D11D95" w:rsidP="00635D84">
      <w:pPr>
        <w:autoSpaceDE w:val="0"/>
        <w:autoSpaceDN w:val="0"/>
        <w:adjustRightInd w:val="0"/>
        <w:jc w:val="center"/>
        <w:rPr>
          <w:rFonts w:ascii="Palatino Linotype" w:hAnsi="Palatino Linotype"/>
          <w:b/>
          <w:bCs/>
          <w:color w:val="0D0D0D" w:themeColor="text1" w:themeTint="F2"/>
          <w:sz w:val="18"/>
          <w:szCs w:val="18"/>
        </w:rPr>
      </w:pPr>
      <w:r w:rsidRPr="00D12DE9">
        <w:rPr>
          <w:rFonts w:ascii="Palatino Linotype" w:hAnsi="Palatino Linotype"/>
          <w:b/>
          <w:bCs/>
          <w:color w:val="0D0D0D" w:themeColor="text1" w:themeTint="F2"/>
          <w:sz w:val="18"/>
          <w:szCs w:val="18"/>
        </w:rPr>
        <w:t xml:space="preserve">Email:  </w:t>
      </w:r>
      <w:hyperlink r:id="rId17" w:history="1">
        <w:r w:rsidRPr="00D12DE9">
          <w:rPr>
            <w:rStyle w:val="Hyperlink"/>
            <w:rFonts w:ascii="Palatino Linotype" w:hAnsi="Palatino Linotype"/>
            <w:b/>
            <w:bCs/>
            <w:color w:val="0D0D0D" w:themeColor="text1" w:themeTint="F2"/>
            <w:sz w:val="18"/>
            <w:szCs w:val="18"/>
          </w:rPr>
          <w:t>info@thomasjeffersoninst.org</w:t>
        </w:r>
      </w:hyperlink>
    </w:p>
    <w:p w14:paraId="11A46DC5" w14:textId="3B2B9FF8" w:rsidR="00D11D95" w:rsidRPr="00D12DE9" w:rsidRDefault="00D11D95" w:rsidP="00635D84">
      <w:pPr>
        <w:autoSpaceDE w:val="0"/>
        <w:autoSpaceDN w:val="0"/>
        <w:adjustRightInd w:val="0"/>
        <w:jc w:val="center"/>
        <w:rPr>
          <w:rFonts w:ascii="Palatino Linotype" w:hAnsi="Palatino Linotype"/>
          <w:b/>
          <w:bCs/>
          <w:color w:val="0D0D0D" w:themeColor="text1" w:themeTint="F2"/>
          <w:sz w:val="18"/>
          <w:szCs w:val="18"/>
        </w:rPr>
      </w:pPr>
      <w:r w:rsidRPr="00D12DE9">
        <w:rPr>
          <w:rFonts w:ascii="Palatino Linotype" w:hAnsi="Palatino Linotype"/>
          <w:b/>
          <w:bCs/>
          <w:color w:val="0D0D0D" w:themeColor="text1" w:themeTint="F2"/>
          <w:sz w:val="18"/>
          <w:szCs w:val="18"/>
        </w:rPr>
        <w:t xml:space="preserve">Web:  </w:t>
      </w:r>
      <w:r w:rsidR="00D12DE9" w:rsidRPr="00D12DE9">
        <w:rPr>
          <w:rFonts w:ascii="Palatino Linotype" w:hAnsi="Palatino Linotype"/>
          <w:b/>
          <w:bCs/>
          <w:color w:val="0D0D0D" w:themeColor="text1" w:themeTint="F2"/>
          <w:sz w:val="18"/>
          <w:szCs w:val="18"/>
        </w:rPr>
        <w:t>www.thomasjeffersoninst.org</w:t>
      </w:r>
    </w:p>
    <w:sectPr w:rsidR="00D11D95" w:rsidRPr="00D12DE9" w:rsidSect="000A113B">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08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C8416" w14:textId="77777777" w:rsidR="0006761C" w:rsidRDefault="0006761C">
      <w:r>
        <w:separator/>
      </w:r>
    </w:p>
  </w:endnote>
  <w:endnote w:type="continuationSeparator" w:id="0">
    <w:p w14:paraId="508FFD8F" w14:textId="77777777" w:rsidR="0006761C" w:rsidRDefault="0006761C">
      <w:r>
        <w:continuationSeparator/>
      </w:r>
    </w:p>
  </w:endnote>
  <w:endnote w:type="continuationNotice" w:id="1">
    <w:p w14:paraId="622742B6" w14:textId="77777777" w:rsidR="0006761C" w:rsidRDefault="00067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alatino-Bold">
    <w:altName w:val="Arial Unicode MS"/>
    <w:charset w:val="00"/>
    <w:family w:val="auto"/>
    <w:pitch w:val="variable"/>
    <w:sig w:usb0="A00002FF" w:usb1="7800205A" w:usb2="14600000" w:usb3="00000000" w:csb0="00000193" w:csb1="00000000"/>
  </w:font>
  <w:font w:name="Palatino">
    <w:altName w:val="Segoe UI Historic"/>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9D9C0" w14:textId="039A261F" w:rsidR="00E024A1" w:rsidRDefault="00E024A1" w:rsidP="003F12C5">
    <w:pPr>
      <w:pStyle w:val="Footer"/>
      <w:pBdr>
        <w:top w:val="single" w:sz="4" w:space="1" w:color="auto"/>
      </w:pBdr>
    </w:pPr>
    <w:r w:rsidRPr="00AF5A08">
      <w:rPr>
        <w:rStyle w:val="PageNumber"/>
        <w:rFonts w:ascii="Palatino Linotype" w:hAnsi="Palatino Linotype"/>
      </w:rPr>
      <w:fldChar w:fldCharType="begin"/>
    </w:r>
    <w:r w:rsidRPr="00AF5A08">
      <w:rPr>
        <w:rStyle w:val="PageNumber"/>
        <w:rFonts w:ascii="Palatino Linotype" w:hAnsi="Palatino Linotype"/>
      </w:rPr>
      <w:instrText xml:space="preserve"> PAGE </w:instrText>
    </w:r>
    <w:r w:rsidRPr="00AF5A08">
      <w:rPr>
        <w:rStyle w:val="PageNumber"/>
        <w:rFonts w:ascii="Palatino Linotype" w:hAnsi="Palatino Linotype"/>
      </w:rPr>
      <w:fldChar w:fldCharType="separate"/>
    </w:r>
    <w:r>
      <w:rPr>
        <w:rStyle w:val="PageNumber"/>
        <w:rFonts w:ascii="Palatino Linotype" w:hAnsi="Palatino Linotype"/>
        <w:noProof/>
      </w:rPr>
      <w:t>8</w:t>
    </w:r>
    <w:r w:rsidRPr="00AF5A08">
      <w:rPr>
        <w:rStyle w:val="PageNumber"/>
        <w:rFonts w:ascii="Palatino Linotype" w:hAnsi="Palatino Linotype"/>
      </w:rPr>
      <w:fldChar w:fldCharType="end"/>
    </w:r>
    <w:r w:rsidRPr="00AF5A08">
      <w:rPr>
        <w:rStyle w:val="PageNumber"/>
        <w:rFonts w:ascii="Palatino Linotype" w:hAnsi="Palatino Linotype"/>
      </w:rPr>
      <w:t xml:space="preserve"> </w:t>
    </w:r>
    <w:r>
      <w:rPr>
        <w:rStyle w:val="PageNumber"/>
        <w:rFonts w:ascii="Palatino Linotype" w:hAnsi="Palatino Linotype"/>
      </w:rPr>
      <w:t>/</w:t>
    </w:r>
    <w:r>
      <w:rPr>
        <w:rFonts w:ascii="Palatino Linotype" w:hAnsi="Palatino Linotype"/>
        <w:i/>
        <w:szCs w:val="24"/>
      </w:rPr>
      <w:t>The Transportation Climate Initiative: The Economics Impacts on Virginia</w:t>
    </w:r>
    <w:r w:rsidRPr="00663B17">
      <w:rPr>
        <w:rFonts w:ascii="Palatino Linotype" w:hAnsi="Palatino Linotype"/>
        <w:i/>
        <w:szCs w:val="24"/>
      </w:rPr>
      <w:t xml:space="preserve"> </w:t>
    </w:r>
    <w:r w:rsidRPr="003C0E51">
      <w:rPr>
        <w:rFonts w:ascii="Palatino Linotype" w:hAnsi="Palatino Linotype"/>
        <w:i/>
        <w:szCs w:val="24"/>
      </w:rPr>
      <w:t xml:space="preserve">/ </w:t>
    </w:r>
    <w:r>
      <w:rPr>
        <w:rFonts w:ascii="Palatino Linotype" w:hAnsi="Palatino Linotype"/>
        <w:i/>
        <w:szCs w:val="24"/>
      </w:rPr>
      <w:t>November</w:t>
    </w:r>
    <w:r w:rsidRPr="003C0E51">
      <w:rPr>
        <w:rFonts w:ascii="Palatino Linotype" w:hAnsi="Palatino Linotype"/>
        <w:i/>
        <w:szCs w:val="24"/>
      </w:rPr>
      <w:t xml:space="preserve"> </w:t>
    </w:r>
    <w:r>
      <w:rPr>
        <w:rFonts w:ascii="Palatino Linotype" w:hAnsi="Palatino Linotype"/>
        <w:i/>
        <w:szCs w:val="24"/>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C7751" w14:textId="77777777" w:rsidR="00E024A1" w:rsidRPr="003C0E51" w:rsidRDefault="00E024A1" w:rsidP="003C0E51">
    <w:pPr>
      <w:pStyle w:val="Header"/>
      <w:rPr>
        <w:rFonts w:ascii="Palatino Linotype" w:hAnsi="Palatino Linotype"/>
        <w:b/>
        <w:i/>
        <w:color w:val="FFFFFF" w:themeColor="background1"/>
        <w:sz w:val="24"/>
        <w:szCs w:val="24"/>
      </w:rPr>
    </w:pPr>
    <w:r>
      <w:rPr>
        <w:rFonts w:ascii="Palatino Linotype" w:hAnsi="Palatino Linotype"/>
        <w:b/>
        <w:i/>
        <w:color w:val="FFFFFF" w:themeColor="background1"/>
        <w:sz w:val="24"/>
        <w:szCs w:val="24"/>
      </w:rPr>
      <w:t>Reducing MA Sales Tax to 5%</w:t>
    </w:r>
  </w:p>
  <w:p w14:paraId="2D3A5736" w14:textId="42F0E413" w:rsidR="00E024A1" w:rsidRPr="003C0E51" w:rsidRDefault="00E024A1" w:rsidP="003F12C5">
    <w:pPr>
      <w:pStyle w:val="Footer"/>
      <w:pBdr>
        <w:top w:val="single" w:sz="4" w:space="1" w:color="auto"/>
      </w:pBdr>
      <w:tabs>
        <w:tab w:val="clear" w:pos="4320"/>
        <w:tab w:val="center" w:pos="4500"/>
      </w:tabs>
      <w:ind w:right="-360"/>
      <w:rPr>
        <w:rFonts w:ascii="Palatino Linotype" w:hAnsi="Palatino Linotype"/>
        <w:i/>
        <w:szCs w:val="24"/>
      </w:rPr>
    </w:pPr>
    <w:r>
      <w:rPr>
        <w:rFonts w:ascii="Palatino Linotype" w:hAnsi="Palatino Linotype"/>
        <w:i/>
        <w:szCs w:val="24"/>
      </w:rPr>
      <w:t>November 2020/ The Transportation Climate Initiative: The Economics Impacts on Virginia</w:t>
    </w:r>
    <w:r w:rsidRPr="003C0E51">
      <w:rPr>
        <w:rFonts w:ascii="Palatino Linotype" w:hAnsi="Palatino Linotype"/>
        <w:i/>
        <w:szCs w:val="24"/>
      </w:rPr>
      <w:tab/>
    </w:r>
    <w:r w:rsidRPr="003C0E51">
      <w:rPr>
        <w:rStyle w:val="PageNumber"/>
        <w:rFonts w:ascii="Palatino Linotype" w:hAnsi="Palatino Linotype"/>
      </w:rPr>
      <w:fldChar w:fldCharType="begin"/>
    </w:r>
    <w:r w:rsidRPr="003C0E51">
      <w:rPr>
        <w:rStyle w:val="PageNumber"/>
        <w:rFonts w:ascii="Palatino Linotype" w:hAnsi="Palatino Linotype"/>
      </w:rPr>
      <w:instrText xml:space="preserve"> PAGE </w:instrText>
    </w:r>
    <w:r w:rsidRPr="003C0E51">
      <w:rPr>
        <w:rStyle w:val="PageNumber"/>
        <w:rFonts w:ascii="Palatino Linotype" w:hAnsi="Palatino Linotype"/>
      </w:rPr>
      <w:fldChar w:fldCharType="separate"/>
    </w:r>
    <w:r>
      <w:rPr>
        <w:rStyle w:val="PageNumber"/>
        <w:rFonts w:ascii="Palatino Linotype" w:hAnsi="Palatino Linotype"/>
        <w:noProof/>
      </w:rPr>
      <w:t>3</w:t>
    </w:r>
    <w:r w:rsidRPr="003C0E51">
      <w:rPr>
        <w:rStyle w:val="PageNumber"/>
        <w:rFonts w:ascii="Palatino Linotype" w:hAnsi="Palatino Linotype"/>
      </w:rPr>
      <w:fldChar w:fldCharType="end"/>
    </w:r>
    <w:r w:rsidRPr="003C0E51">
      <w:rPr>
        <w:rFonts w:ascii="Palatino Linotype" w:hAnsi="Palatino Linotype"/>
        <w:i/>
        <w:szCs w:val="24"/>
      </w:rPr>
      <w:t xml:space="preserve"> </w:t>
    </w:r>
  </w:p>
  <w:p w14:paraId="323084F7" w14:textId="77777777" w:rsidR="00E024A1" w:rsidRDefault="00E024A1"/>
  <w:p w14:paraId="0A69C31D" w14:textId="77777777" w:rsidR="00E024A1" w:rsidRDefault="00E024A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C6AD" w14:textId="239A9CA8" w:rsidR="00E024A1" w:rsidRPr="00D50742" w:rsidRDefault="00E024A1" w:rsidP="0046140B">
    <w:pPr>
      <w:pStyle w:val="Footer"/>
      <w:pBdr>
        <w:top w:val="single" w:sz="4" w:space="1" w:color="auto"/>
      </w:pBdr>
      <w:rPr>
        <w:rFonts w:ascii="Times New Roman" w:hAnsi="Times New Roman"/>
        <w:i/>
        <w:sz w:val="23"/>
        <w:szCs w:val="23"/>
      </w:rPr>
    </w:pPr>
    <w:r w:rsidRPr="00AF5A08">
      <w:rPr>
        <w:rStyle w:val="PageNumber"/>
        <w:rFonts w:ascii="Palatino Linotype" w:hAnsi="Palatino Linotype"/>
      </w:rPr>
      <w:fldChar w:fldCharType="begin"/>
    </w:r>
    <w:r w:rsidRPr="00AF5A08">
      <w:rPr>
        <w:rStyle w:val="PageNumber"/>
        <w:rFonts w:ascii="Palatino Linotype" w:hAnsi="Palatino Linotype"/>
      </w:rPr>
      <w:instrText xml:space="preserve"> PAGE </w:instrText>
    </w:r>
    <w:r w:rsidRPr="00AF5A08">
      <w:rPr>
        <w:rStyle w:val="PageNumber"/>
        <w:rFonts w:ascii="Palatino Linotype" w:hAnsi="Palatino Linotype"/>
      </w:rPr>
      <w:fldChar w:fldCharType="separate"/>
    </w:r>
    <w:r>
      <w:rPr>
        <w:rStyle w:val="PageNumber"/>
        <w:rFonts w:ascii="Palatino Linotype" w:hAnsi="Palatino Linotype"/>
        <w:noProof/>
      </w:rPr>
      <w:t>2</w:t>
    </w:r>
    <w:r w:rsidRPr="00AF5A08">
      <w:rPr>
        <w:rStyle w:val="PageNumber"/>
        <w:rFonts w:ascii="Palatino Linotype" w:hAnsi="Palatino Linotype"/>
      </w:rPr>
      <w:fldChar w:fldCharType="end"/>
    </w:r>
    <w:r w:rsidRPr="00AF5A08">
      <w:rPr>
        <w:rStyle w:val="PageNumber"/>
        <w:rFonts w:ascii="Palatino Linotype" w:hAnsi="Palatino Linotype"/>
      </w:rPr>
      <w:t xml:space="preserve">  </w:t>
    </w:r>
    <w:r>
      <w:rPr>
        <w:rStyle w:val="PageNumber"/>
      </w:rPr>
      <w:t xml:space="preserve">   </w:t>
    </w:r>
    <w:r>
      <w:rPr>
        <w:rFonts w:ascii="Palatino Linotype" w:hAnsi="Palatino Linotype"/>
        <w:i/>
        <w:szCs w:val="24"/>
      </w:rPr>
      <w:t>The Transportation Climate Initiative: The Economics Impacts on Virginia</w:t>
    </w:r>
    <w:r w:rsidRPr="00663B17">
      <w:rPr>
        <w:rFonts w:ascii="Palatino Linotype" w:hAnsi="Palatino Linotype"/>
        <w:i/>
        <w:szCs w:val="24"/>
      </w:rPr>
      <w:t xml:space="preserve"> </w:t>
    </w:r>
    <w:r w:rsidRPr="003C0E51">
      <w:rPr>
        <w:rFonts w:ascii="Palatino Linotype" w:hAnsi="Palatino Linotype"/>
        <w:i/>
        <w:szCs w:val="24"/>
      </w:rPr>
      <w:t xml:space="preserve">/ </w:t>
    </w:r>
    <w:r>
      <w:rPr>
        <w:rFonts w:ascii="Palatino Linotype" w:hAnsi="Palatino Linotype"/>
        <w:i/>
        <w:szCs w:val="24"/>
      </w:rPr>
      <w:t>October</w:t>
    </w:r>
    <w:r w:rsidRPr="003C0E51">
      <w:rPr>
        <w:rFonts w:ascii="Palatino Linotype" w:hAnsi="Palatino Linotype"/>
        <w:i/>
        <w:szCs w:val="24"/>
      </w:rPr>
      <w:t xml:space="preserve"> </w:t>
    </w:r>
    <w:r>
      <w:rPr>
        <w:rFonts w:ascii="Palatino Linotype" w:hAnsi="Palatino Linotype"/>
        <w:i/>
        <w:szCs w:val="24"/>
      </w:rPr>
      <w:t>2020</w:t>
    </w:r>
  </w:p>
  <w:p w14:paraId="255DC03A" w14:textId="77777777" w:rsidR="00E024A1" w:rsidRDefault="00E02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5EF92" w14:textId="77777777" w:rsidR="0006761C" w:rsidRDefault="0006761C">
      <w:r>
        <w:t xml:space="preserve">                                       </w:t>
      </w:r>
      <w:r>
        <w:separator/>
      </w:r>
    </w:p>
  </w:footnote>
  <w:footnote w:type="continuationSeparator" w:id="0">
    <w:p w14:paraId="65402A2B" w14:textId="77777777" w:rsidR="0006761C" w:rsidRDefault="0006761C">
      <w:r>
        <w:continuationSeparator/>
      </w:r>
    </w:p>
  </w:footnote>
  <w:footnote w:type="continuationNotice" w:id="1">
    <w:p w14:paraId="08401902" w14:textId="77777777" w:rsidR="0006761C" w:rsidRDefault="0006761C"/>
  </w:footnote>
  <w:footnote w:id="2">
    <w:p w14:paraId="6516A116" w14:textId="6848E310" w:rsidR="00E024A1" w:rsidRPr="00F7229F" w:rsidRDefault="00E024A1" w:rsidP="00007555">
      <w:pPr>
        <w:pStyle w:val="FootnoteText"/>
        <w:rPr>
          <w:rStyle w:val="FootnoteReference"/>
          <w:rFonts w:ascii="Palatino Linotype" w:hAnsi="Palatino Linotype"/>
          <w:sz w:val="16"/>
          <w:szCs w:val="16"/>
          <w:vertAlign w:val="baseline"/>
        </w:rPr>
      </w:pPr>
      <w:r w:rsidRPr="00F7229F">
        <w:rPr>
          <w:rStyle w:val="FootnoteReference"/>
          <w:rFonts w:ascii="Palatino Linotype" w:hAnsi="Palatino Linotype"/>
          <w:sz w:val="16"/>
          <w:szCs w:val="16"/>
        </w:rPr>
        <w:t>1</w:t>
      </w:r>
      <w:r w:rsidRPr="00F7229F">
        <w:rPr>
          <w:rFonts w:ascii="Palatino Linotype" w:hAnsi="Palatino Linotype"/>
          <w:sz w:val="16"/>
          <w:szCs w:val="16"/>
        </w:rPr>
        <w:t xml:space="preserve"> Transportation Climate Initiative of the Northeast and MidAtlantic States, (February 3, 2020) </w:t>
      </w:r>
      <w:hyperlink r:id="rId1" w:history="1">
        <w:r w:rsidRPr="00F7229F">
          <w:rPr>
            <w:rStyle w:val="Hyperlink"/>
            <w:rFonts w:ascii="Palatino Linotype" w:hAnsi="Palatino Linotype"/>
            <w:sz w:val="16"/>
            <w:szCs w:val="16"/>
          </w:rPr>
          <w:t>https://www.transportationandclimate.org/content/about-us</w:t>
        </w:r>
      </w:hyperlink>
      <w:r w:rsidRPr="00F7229F">
        <w:rPr>
          <w:rStyle w:val="Hyperlink"/>
          <w:rFonts w:ascii="Palatino Linotype" w:hAnsi="Palatino Linotype"/>
          <w:sz w:val="16"/>
          <w:szCs w:val="16"/>
        </w:rPr>
        <w:t>.</w:t>
      </w:r>
    </w:p>
  </w:footnote>
  <w:footnote w:id="3">
    <w:p w14:paraId="3685E848" w14:textId="00FBBCEE" w:rsidR="00E024A1" w:rsidRPr="00F7229F" w:rsidRDefault="00E024A1">
      <w:pPr>
        <w:pStyle w:val="FootnoteText"/>
        <w:rPr>
          <w:rFonts w:ascii="Palatino Linotype" w:hAnsi="Palatino Linotype"/>
          <w:sz w:val="16"/>
          <w:szCs w:val="16"/>
        </w:rPr>
      </w:pPr>
      <w:r w:rsidRPr="00F7229F">
        <w:rPr>
          <w:rStyle w:val="FootnoteReference"/>
          <w:rFonts w:ascii="Palatino Linotype" w:hAnsi="Palatino Linotype"/>
          <w:sz w:val="16"/>
          <w:szCs w:val="16"/>
        </w:rPr>
        <w:t>2</w:t>
      </w:r>
      <w:r w:rsidRPr="00F7229F">
        <w:rPr>
          <w:rFonts w:ascii="Palatino Linotype" w:hAnsi="Palatino Linotype"/>
          <w:sz w:val="16"/>
          <w:szCs w:val="16"/>
        </w:rPr>
        <w:t xml:space="preserve"> Ibid, 1. </w:t>
      </w:r>
    </w:p>
  </w:footnote>
  <w:footnote w:id="4">
    <w:p w14:paraId="3581774E" w14:textId="5FA9FBE1" w:rsidR="00E024A1" w:rsidRPr="00F7229F" w:rsidRDefault="00E024A1" w:rsidP="00007555">
      <w:pPr>
        <w:pStyle w:val="FootnoteText"/>
        <w:rPr>
          <w:rFonts w:ascii="Palatino Linotype" w:hAnsi="Palatino Linotype"/>
          <w:sz w:val="16"/>
          <w:szCs w:val="16"/>
        </w:rPr>
      </w:pPr>
      <w:r w:rsidRPr="00F7229F">
        <w:rPr>
          <w:rStyle w:val="FootnoteReference"/>
          <w:rFonts w:ascii="Palatino Linotype" w:hAnsi="Palatino Linotype"/>
          <w:sz w:val="16"/>
          <w:szCs w:val="16"/>
        </w:rPr>
        <w:t>3</w:t>
      </w:r>
      <w:r w:rsidRPr="00F7229F">
        <w:rPr>
          <w:rFonts w:ascii="Palatino Linotype" w:hAnsi="Palatino Linotype"/>
          <w:sz w:val="16"/>
          <w:szCs w:val="16"/>
        </w:rPr>
        <w:t xml:space="preserve"> Georgetown Climate Center, (February 3, 2020) </w:t>
      </w:r>
      <w:hyperlink r:id="rId2" w:history="1">
        <w:r w:rsidRPr="00F7229F">
          <w:rPr>
            <w:rStyle w:val="Hyperlink"/>
            <w:rFonts w:ascii="Palatino Linotype" w:hAnsi="Palatino Linotype"/>
            <w:sz w:val="16"/>
            <w:szCs w:val="16"/>
          </w:rPr>
          <w:t>https://www.georgetownclimate.org/</w:t>
        </w:r>
      </w:hyperlink>
      <w:r w:rsidRPr="00F7229F">
        <w:rPr>
          <w:rFonts w:ascii="Palatino Linotype" w:hAnsi="Palatino Linotype"/>
          <w:sz w:val="16"/>
          <w:szCs w:val="16"/>
        </w:rPr>
        <w:t xml:space="preserve">.  </w:t>
      </w:r>
    </w:p>
  </w:footnote>
  <w:footnote w:id="5">
    <w:p w14:paraId="6DA3FCC2" w14:textId="39D4130C" w:rsidR="00E024A1" w:rsidRPr="00F7229F" w:rsidRDefault="00E024A1" w:rsidP="00901231">
      <w:pPr>
        <w:pStyle w:val="FootnoteText"/>
        <w:rPr>
          <w:rFonts w:ascii="Palatino Linotype" w:hAnsi="Palatino Linotype"/>
          <w:sz w:val="16"/>
          <w:szCs w:val="16"/>
        </w:rPr>
      </w:pPr>
      <w:r w:rsidRPr="00F7229F">
        <w:rPr>
          <w:rStyle w:val="FootnoteReference"/>
          <w:rFonts w:ascii="Palatino Linotype" w:hAnsi="Palatino Linotype"/>
          <w:sz w:val="16"/>
          <w:szCs w:val="16"/>
        </w:rPr>
        <w:t>4</w:t>
      </w:r>
      <w:r w:rsidRPr="00F7229F">
        <w:rPr>
          <w:rFonts w:ascii="Palatino Linotype" w:hAnsi="Palatino Linotype"/>
          <w:sz w:val="16"/>
          <w:szCs w:val="16"/>
        </w:rPr>
        <w:t xml:space="preserve"> </w:t>
      </w:r>
      <w:r w:rsidRPr="00F7229F">
        <w:rPr>
          <w:rFonts w:ascii="Palatino Linotype" w:hAnsi="Palatino Linotype"/>
          <w:color w:val="000000"/>
          <w:sz w:val="16"/>
          <w:szCs w:val="16"/>
        </w:rPr>
        <w:t xml:space="preserve">U.S. Environmental Protection Agency, Environmental Economics, Economics of Climate Change, </w:t>
      </w:r>
      <w:hyperlink r:id="rId3" w:history="1">
        <w:r w:rsidRPr="00F7229F">
          <w:rPr>
            <w:rFonts w:ascii="Palatino Linotype" w:hAnsi="Palatino Linotype"/>
            <w:color w:val="0000FF"/>
            <w:spacing w:val="-1"/>
            <w:w w:val="95"/>
            <w:sz w:val="16"/>
            <w:szCs w:val="16"/>
            <w:u w:val="single"/>
          </w:rPr>
          <w:t>https://www.epa.gov/environmental-economics/economics-climate-change</w:t>
        </w:r>
      </w:hyperlink>
      <w:r w:rsidRPr="00F7229F">
        <w:rPr>
          <w:rFonts w:ascii="Palatino Linotype" w:hAnsi="Palatino Linotype"/>
          <w:color w:val="0000FF"/>
          <w:spacing w:val="-1"/>
          <w:w w:val="95"/>
          <w:sz w:val="16"/>
          <w:szCs w:val="16"/>
          <w:u w:val="single"/>
        </w:rPr>
        <w:t>.</w:t>
      </w:r>
      <w:r w:rsidRPr="00F7229F">
        <w:rPr>
          <w:rFonts w:ascii="Palatino Linotype" w:hAnsi="Palatino Linotype"/>
          <w:color w:val="0000FF"/>
          <w:spacing w:val="-1"/>
          <w:w w:val="95"/>
          <w:sz w:val="16"/>
          <w:szCs w:val="16"/>
        </w:rPr>
        <w:t xml:space="preserve"> </w:t>
      </w:r>
    </w:p>
  </w:footnote>
  <w:footnote w:id="6">
    <w:p w14:paraId="26F90BBA" w14:textId="1AF6BA75" w:rsidR="00E024A1" w:rsidRPr="00F7229F" w:rsidRDefault="00E024A1" w:rsidP="003872DF">
      <w:pPr>
        <w:rPr>
          <w:rFonts w:ascii="Palatino Linotype" w:hAnsi="Palatino Linotype"/>
          <w:sz w:val="16"/>
          <w:szCs w:val="16"/>
        </w:rPr>
      </w:pPr>
      <w:r w:rsidRPr="00F7229F">
        <w:rPr>
          <w:rStyle w:val="FootnoteReference"/>
          <w:rFonts w:ascii="Palatino Linotype" w:hAnsi="Palatino Linotype"/>
          <w:sz w:val="16"/>
          <w:szCs w:val="16"/>
        </w:rPr>
        <w:t>5</w:t>
      </w:r>
      <w:r w:rsidRPr="00F7229F">
        <w:rPr>
          <w:rFonts w:ascii="Palatino Linotype" w:hAnsi="Palatino Linotype"/>
          <w:sz w:val="16"/>
          <w:szCs w:val="16"/>
        </w:rPr>
        <w:t xml:space="preserve"> Dayaratna, Kevin and McKitrick, Ross and Kreutzer, David, Empirically-Constrained Climate Sensitivity and the Social Cost of Carbon (April 5, 2016).</w:t>
      </w:r>
    </w:p>
  </w:footnote>
  <w:footnote w:id="7">
    <w:p w14:paraId="54515CE7" w14:textId="1187FD94" w:rsidR="00E024A1" w:rsidRPr="00F7229F" w:rsidRDefault="00E024A1" w:rsidP="004552E9">
      <w:pPr>
        <w:pStyle w:val="FootnoteText"/>
        <w:rPr>
          <w:rFonts w:ascii="Palatino Linotype" w:hAnsi="Palatino Linotype"/>
          <w:sz w:val="16"/>
          <w:szCs w:val="16"/>
        </w:rPr>
      </w:pPr>
      <w:r w:rsidRPr="00F7229F">
        <w:rPr>
          <w:rStyle w:val="FootnoteReference"/>
          <w:rFonts w:ascii="Palatino Linotype" w:hAnsi="Palatino Linotype"/>
          <w:sz w:val="16"/>
          <w:szCs w:val="16"/>
        </w:rPr>
        <w:t>6</w:t>
      </w:r>
      <w:r w:rsidRPr="00F7229F">
        <w:rPr>
          <w:rFonts w:ascii="Palatino Linotype" w:hAnsi="Palatino Linotype"/>
          <w:sz w:val="16"/>
          <w:szCs w:val="16"/>
        </w:rPr>
        <w:t xml:space="preserve"> Transportation Climate Initiative, “Framework for a Draft Regional Policy Proposal,” (February 3, 2020) </w:t>
      </w:r>
      <w:hyperlink r:id="rId4" w:history="1">
        <w:r w:rsidRPr="00F7229F">
          <w:rPr>
            <w:rStyle w:val="Hyperlink"/>
            <w:rFonts w:ascii="Palatino Linotype" w:hAnsi="Palatino Linotype"/>
            <w:sz w:val="16"/>
            <w:szCs w:val="16"/>
          </w:rPr>
          <w:t>https://www.transportationandclimate.org/sites/default/files/TCI-Framework_10-01-2019.pdf</w:t>
        </w:r>
      </w:hyperlink>
      <w:r w:rsidRPr="00F7229F">
        <w:rPr>
          <w:rStyle w:val="Hyperlink"/>
          <w:rFonts w:ascii="Palatino Linotype" w:hAnsi="Palatino Linotype"/>
          <w:sz w:val="16"/>
          <w:szCs w:val="16"/>
        </w:rPr>
        <w:t>.</w:t>
      </w:r>
    </w:p>
    <w:p w14:paraId="5065DB70" w14:textId="77777777" w:rsidR="00E024A1" w:rsidRPr="00F7229F" w:rsidRDefault="00E024A1" w:rsidP="004552E9">
      <w:pPr>
        <w:pStyle w:val="FootnoteText"/>
        <w:rPr>
          <w:rFonts w:ascii="Palatino Linotype" w:hAnsi="Palatino Linotype"/>
          <w:sz w:val="16"/>
          <w:szCs w:val="16"/>
        </w:rPr>
      </w:pPr>
    </w:p>
    <w:p w14:paraId="6EA04980" w14:textId="77777777" w:rsidR="00E024A1" w:rsidRPr="00F7229F" w:rsidRDefault="00E024A1">
      <w:pPr>
        <w:pStyle w:val="FootnoteText"/>
        <w:rPr>
          <w:rFonts w:ascii="Palatino Linotype" w:hAnsi="Palatino Linotype"/>
          <w:sz w:val="16"/>
          <w:szCs w:val="16"/>
        </w:rPr>
      </w:pPr>
    </w:p>
  </w:footnote>
  <w:footnote w:id="8">
    <w:p w14:paraId="48205F58" w14:textId="267C6B64" w:rsidR="00E024A1" w:rsidRPr="00F7229F" w:rsidRDefault="00E024A1">
      <w:pPr>
        <w:pStyle w:val="FootnoteText"/>
        <w:rPr>
          <w:rFonts w:ascii="Palatino Linotype" w:hAnsi="Palatino Linotype"/>
          <w:sz w:val="16"/>
          <w:szCs w:val="16"/>
        </w:rPr>
      </w:pPr>
      <w:r w:rsidRPr="00F7229F">
        <w:rPr>
          <w:rStyle w:val="FootnoteReference"/>
          <w:rFonts w:ascii="Palatino Linotype" w:hAnsi="Palatino Linotype"/>
          <w:sz w:val="16"/>
          <w:szCs w:val="16"/>
        </w:rPr>
        <w:t>7</w:t>
      </w:r>
      <w:r w:rsidRPr="00F7229F">
        <w:rPr>
          <w:rFonts w:ascii="Palatino Linotype" w:hAnsi="Palatino Linotype"/>
          <w:sz w:val="16"/>
          <w:szCs w:val="16"/>
        </w:rPr>
        <w:t xml:space="preserve"> Lawrence H. Goulder &amp; Andrew R. Schein, "Carbon Taxes Versus Cap and Trade: A Critical Review," </w:t>
      </w:r>
      <w:r w:rsidRPr="00F7229F">
        <w:rPr>
          <w:rFonts w:ascii="Palatino Linotype" w:hAnsi="Palatino Linotype"/>
          <w:i/>
          <w:iCs/>
          <w:sz w:val="16"/>
          <w:szCs w:val="16"/>
        </w:rPr>
        <w:t>Climate Change Economics</w:t>
      </w:r>
      <w:r w:rsidRPr="00F7229F">
        <w:rPr>
          <w:rFonts w:ascii="Palatino Linotype" w:hAnsi="Palatino Linotype"/>
          <w:sz w:val="16"/>
          <w:szCs w:val="16"/>
        </w:rPr>
        <w:t xml:space="preserve">. V4N3, (2013).  </w:t>
      </w:r>
      <w:hyperlink r:id="rId5" w:history="1">
        <w:r w:rsidRPr="00F7229F">
          <w:rPr>
            <w:rStyle w:val="Hyperlink"/>
            <w:rFonts w:ascii="Palatino Linotype" w:hAnsi="Palatino Linotype"/>
            <w:sz w:val="16"/>
            <w:szCs w:val="16"/>
          </w:rPr>
          <w:t>https://www.worldscientific.com/doi/abs/10.1142/S2010007813500103</w:t>
        </w:r>
      </w:hyperlink>
      <w:r w:rsidRPr="00F7229F">
        <w:rPr>
          <w:rFonts w:ascii="Palatino Linotype" w:hAnsi="Palatino Linotype"/>
          <w:sz w:val="16"/>
          <w:szCs w:val="16"/>
        </w:rPr>
        <w:t>.</w:t>
      </w:r>
    </w:p>
  </w:footnote>
  <w:footnote w:id="9">
    <w:p w14:paraId="15C0D4F9" w14:textId="3ECFE217" w:rsidR="00E024A1" w:rsidRPr="00F7229F" w:rsidRDefault="00E024A1">
      <w:pPr>
        <w:pStyle w:val="FootnoteText"/>
        <w:rPr>
          <w:rFonts w:ascii="Palatino Linotype" w:hAnsi="Palatino Linotype"/>
          <w:sz w:val="16"/>
          <w:szCs w:val="16"/>
        </w:rPr>
      </w:pPr>
      <w:r w:rsidRPr="00F7229F">
        <w:rPr>
          <w:rStyle w:val="FootnoteReference"/>
          <w:rFonts w:ascii="Palatino Linotype" w:hAnsi="Palatino Linotype"/>
          <w:sz w:val="16"/>
          <w:szCs w:val="16"/>
        </w:rPr>
        <w:t>8</w:t>
      </w:r>
      <w:r w:rsidRPr="00F7229F">
        <w:rPr>
          <w:rFonts w:ascii="Palatino Linotype" w:hAnsi="Palatino Linotype"/>
          <w:sz w:val="16"/>
          <w:szCs w:val="16"/>
        </w:rPr>
        <w:t xml:space="preserve"> Friends of the Earth. “The EU Emissions Trading System,” (February 3, 2020).  </w:t>
      </w:r>
      <w:hyperlink r:id="rId6" w:history="1">
        <w:r w:rsidRPr="00F7229F">
          <w:rPr>
            <w:rStyle w:val="Hyperlink"/>
            <w:rFonts w:ascii="Palatino Linotype" w:hAnsi="Palatino Linotype"/>
            <w:sz w:val="16"/>
            <w:szCs w:val="16"/>
          </w:rPr>
          <w:t>https://ec.europa.eu/clima/sites/clima/files/docs/0005/registered/9825553393-31_friends_of_the_earth_europe_en.pdf</w:t>
        </w:r>
      </w:hyperlink>
      <w:r w:rsidRPr="00F7229F">
        <w:rPr>
          <w:rStyle w:val="Hyperlink"/>
          <w:rFonts w:ascii="Palatino Linotype" w:hAnsi="Palatino Linotype"/>
          <w:sz w:val="16"/>
          <w:szCs w:val="16"/>
        </w:rPr>
        <w:t>.</w:t>
      </w:r>
    </w:p>
  </w:footnote>
  <w:footnote w:id="10">
    <w:p w14:paraId="256300ED" w14:textId="35AB0B2A" w:rsidR="00E024A1" w:rsidRPr="00F7229F" w:rsidRDefault="00E024A1">
      <w:pPr>
        <w:pStyle w:val="FootnoteText"/>
        <w:rPr>
          <w:rFonts w:ascii="Palatino Linotype" w:hAnsi="Palatino Linotype"/>
          <w:sz w:val="16"/>
          <w:szCs w:val="16"/>
        </w:rPr>
      </w:pPr>
      <w:r w:rsidRPr="00F7229F">
        <w:rPr>
          <w:rStyle w:val="FootnoteReference"/>
          <w:rFonts w:ascii="Palatino Linotype" w:hAnsi="Palatino Linotype"/>
          <w:sz w:val="16"/>
          <w:szCs w:val="16"/>
        </w:rPr>
        <w:t>9</w:t>
      </w:r>
      <w:r w:rsidRPr="00F7229F">
        <w:rPr>
          <w:rFonts w:ascii="Palatino Linotype" w:hAnsi="Palatino Linotype"/>
          <w:sz w:val="16"/>
          <w:szCs w:val="16"/>
        </w:rPr>
        <w:t xml:space="preserve"> Grantham Institute, Imperial College, “Evaluating the EU Emissions Trading System: Take It or Leave It? An Assessment of the Data after Ten Years.” </w:t>
      </w:r>
      <w:r w:rsidRPr="00F7229F">
        <w:rPr>
          <w:rFonts w:ascii="Palatino Linotype" w:hAnsi="Palatino Linotype"/>
          <w:i/>
          <w:iCs/>
          <w:sz w:val="16"/>
          <w:szCs w:val="16"/>
        </w:rPr>
        <w:t>Briefing Paper 21</w:t>
      </w:r>
      <w:r w:rsidRPr="00F7229F">
        <w:rPr>
          <w:rFonts w:ascii="Palatino Linotype" w:hAnsi="Palatino Linotype"/>
          <w:sz w:val="16"/>
          <w:szCs w:val="16"/>
        </w:rPr>
        <w:t xml:space="preserve">.  (October 1, 2016), </w:t>
      </w:r>
      <w:hyperlink r:id="rId7" w:history="1">
        <w:r w:rsidRPr="00F7229F">
          <w:rPr>
            <w:rStyle w:val="Hyperlink"/>
            <w:rFonts w:ascii="Palatino Linotype" w:hAnsi="Palatino Linotype"/>
            <w:sz w:val="16"/>
            <w:szCs w:val="16"/>
          </w:rPr>
          <w:t>https://www.imperial.ac.uk/media/imperial-college/grantham-institute/public/publications/briefing-papers/Evaluating-the-EU-emissions-trading-system_Grantham-BP-21_web.pdf</w:t>
        </w:r>
      </w:hyperlink>
      <w:r w:rsidRPr="00F7229F">
        <w:rPr>
          <w:rStyle w:val="Hyperlink"/>
          <w:rFonts w:ascii="Palatino Linotype" w:hAnsi="Palatino Linotype"/>
          <w:sz w:val="16"/>
          <w:szCs w:val="16"/>
        </w:rPr>
        <w:t>.</w:t>
      </w:r>
    </w:p>
  </w:footnote>
  <w:footnote w:id="11">
    <w:p w14:paraId="28993B46" w14:textId="0BC68CF9" w:rsidR="00E024A1" w:rsidRPr="00F7229F" w:rsidRDefault="00E024A1">
      <w:pPr>
        <w:pStyle w:val="FootnoteText"/>
        <w:rPr>
          <w:rFonts w:ascii="Palatino Linotype" w:hAnsi="Palatino Linotype"/>
          <w:sz w:val="16"/>
          <w:szCs w:val="16"/>
        </w:rPr>
      </w:pPr>
      <w:r w:rsidRPr="00F7229F">
        <w:rPr>
          <w:rStyle w:val="FootnoteReference"/>
          <w:rFonts w:ascii="Palatino Linotype" w:hAnsi="Palatino Linotype"/>
          <w:sz w:val="16"/>
          <w:szCs w:val="16"/>
        </w:rPr>
        <w:t>10</w:t>
      </w:r>
      <w:r w:rsidRPr="00F7229F">
        <w:rPr>
          <w:rFonts w:ascii="Palatino Linotype" w:hAnsi="Palatino Linotype"/>
          <w:sz w:val="16"/>
          <w:szCs w:val="16"/>
        </w:rPr>
        <w:t xml:space="preserve">  Ibid, 8. </w:t>
      </w:r>
    </w:p>
  </w:footnote>
  <w:footnote w:id="12">
    <w:p w14:paraId="29DD48EB" w14:textId="41E0BF0C" w:rsidR="00E024A1" w:rsidRPr="00F7229F" w:rsidRDefault="00E024A1">
      <w:pPr>
        <w:pStyle w:val="FootnoteText"/>
        <w:rPr>
          <w:rFonts w:ascii="Palatino Linotype" w:hAnsi="Palatino Linotype"/>
          <w:sz w:val="16"/>
          <w:szCs w:val="16"/>
        </w:rPr>
      </w:pPr>
      <w:r w:rsidRPr="00F7229F">
        <w:rPr>
          <w:rStyle w:val="FootnoteReference"/>
          <w:rFonts w:ascii="Palatino Linotype" w:hAnsi="Palatino Linotype"/>
          <w:sz w:val="16"/>
          <w:szCs w:val="16"/>
        </w:rPr>
        <w:t>11</w:t>
      </w:r>
      <w:r w:rsidRPr="00F7229F">
        <w:rPr>
          <w:rFonts w:ascii="Palatino Linotype" w:hAnsi="Palatino Linotype"/>
          <w:sz w:val="16"/>
          <w:szCs w:val="16"/>
        </w:rPr>
        <w:t xml:space="preserve"> Ibid, 8.</w:t>
      </w:r>
    </w:p>
  </w:footnote>
  <w:footnote w:id="13">
    <w:p w14:paraId="726AC1CC" w14:textId="1EF7DFE0" w:rsidR="00E024A1" w:rsidRPr="00F7229F" w:rsidRDefault="00E024A1">
      <w:pPr>
        <w:pStyle w:val="FootnoteText"/>
        <w:rPr>
          <w:rFonts w:ascii="Palatino Linotype" w:hAnsi="Palatino Linotype"/>
          <w:sz w:val="16"/>
          <w:szCs w:val="16"/>
        </w:rPr>
      </w:pPr>
      <w:r w:rsidRPr="00F7229F">
        <w:rPr>
          <w:rStyle w:val="FootnoteReference"/>
          <w:rFonts w:ascii="Palatino Linotype" w:hAnsi="Palatino Linotype"/>
          <w:sz w:val="16"/>
          <w:szCs w:val="16"/>
        </w:rPr>
        <w:t>12</w:t>
      </w:r>
      <w:r w:rsidRPr="00F7229F">
        <w:rPr>
          <w:rFonts w:ascii="Palatino Linotype" w:hAnsi="Palatino Linotype"/>
          <w:sz w:val="16"/>
          <w:szCs w:val="16"/>
        </w:rPr>
        <w:t xml:space="preserve"> Ibid, 8.</w:t>
      </w:r>
    </w:p>
  </w:footnote>
  <w:footnote w:id="14">
    <w:p w14:paraId="0A16F399" w14:textId="727FE197" w:rsidR="00E024A1" w:rsidRPr="00F7229F" w:rsidRDefault="00E024A1">
      <w:pPr>
        <w:pStyle w:val="FootnoteText"/>
        <w:rPr>
          <w:rFonts w:ascii="Palatino Linotype" w:hAnsi="Palatino Linotype"/>
          <w:sz w:val="16"/>
          <w:szCs w:val="16"/>
        </w:rPr>
      </w:pPr>
      <w:r w:rsidRPr="00F7229F">
        <w:rPr>
          <w:rStyle w:val="FootnoteReference"/>
          <w:rFonts w:ascii="Palatino Linotype" w:hAnsi="Palatino Linotype"/>
          <w:sz w:val="16"/>
          <w:szCs w:val="16"/>
        </w:rPr>
        <w:t>13</w:t>
      </w:r>
      <w:r w:rsidRPr="00F7229F">
        <w:rPr>
          <w:rFonts w:ascii="Palatino Linotype" w:hAnsi="Palatino Linotype"/>
          <w:sz w:val="16"/>
          <w:szCs w:val="16"/>
        </w:rPr>
        <w:t xml:space="preserve"> Ibid, 8. </w:t>
      </w:r>
    </w:p>
  </w:footnote>
  <w:footnote w:id="15">
    <w:p w14:paraId="2D750DAF" w14:textId="567EF6E8" w:rsidR="00E024A1" w:rsidRPr="00F7229F" w:rsidRDefault="00E024A1">
      <w:pPr>
        <w:pStyle w:val="FootnoteText"/>
        <w:rPr>
          <w:rFonts w:ascii="Palatino Linotype" w:hAnsi="Palatino Linotype"/>
          <w:sz w:val="16"/>
          <w:szCs w:val="16"/>
        </w:rPr>
      </w:pPr>
      <w:r w:rsidRPr="00F7229F">
        <w:rPr>
          <w:rStyle w:val="FootnoteReference"/>
          <w:rFonts w:ascii="Palatino Linotype" w:hAnsi="Palatino Linotype"/>
          <w:sz w:val="16"/>
          <w:szCs w:val="16"/>
        </w:rPr>
        <w:t>14</w:t>
      </w:r>
      <w:r w:rsidRPr="00F7229F">
        <w:rPr>
          <w:rFonts w:ascii="Palatino Linotype" w:hAnsi="Palatino Linotype"/>
          <w:sz w:val="16"/>
          <w:szCs w:val="16"/>
        </w:rPr>
        <w:t xml:space="preserve"> California Air Resources Board, “Article 5: California Cap on Greenhouse Gas Emissions and Market-based Compliance Mechanisms,” (April 1, 2019),  </w:t>
      </w:r>
      <w:hyperlink r:id="rId8" w:history="1">
        <w:r w:rsidRPr="00F7229F">
          <w:rPr>
            <w:rStyle w:val="Hyperlink"/>
            <w:rFonts w:ascii="Palatino Linotype" w:hAnsi="Palatino Linotype"/>
            <w:sz w:val="16"/>
            <w:szCs w:val="16"/>
          </w:rPr>
          <w:t>https://ww3.arb.ca.gov/cc/capandtrade/capandtrade/ct_reg_unofficial.pdf</w:t>
        </w:r>
      </w:hyperlink>
      <w:r w:rsidRPr="00F7229F">
        <w:rPr>
          <w:rFonts w:ascii="Palatino Linotype" w:hAnsi="Palatino Linotype"/>
          <w:sz w:val="16"/>
          <w:szCs w:val="16"/>
        </w:rPr>
        <w:t>.</w:t>
      </w:r>
    </w:p>
  </w:footnote>
  <w:footnote w:id="16">
    <w:p w14:paraId="2ABB124C" w14:textId="0C2C3838" w:rsidR="00E024A1" w:rsidRPr="00F7229F" w:rsidRDefault="00E024A1">
      <w:pPr>
        <w:pStyle w:val="FootnoteText"/>
        <w:rPr>
          <w:rFonts w:ascii="Palatino Linotype" w:hAnsi="Palatino Linotype"/>
          <w:sz w:val="16"/>
          <w:szCs w:val="16"/>
        </w:rPr>
      </w:pPr>
      <w:r w:rsidRPr="00F7229F">
        <w:rPr>
          <w:rStyle w:val="FootnoteReference"/>
          <w:rFonts w:ascii="Palatino Linotype" w:hAnsi="Palatino Linotype"/>
          <w:sz w:val="16"/>
          <w:szCs w:val="16"/>
        </w:rPr>
        <w:t>15</w:t>
      </w:r>
      <w:r w:rsidRPr="00F7229F">
        <w:rPr>
          <w:rFonts w:ascii="Palatino Linotype" w:hAnsi="Palatino Linotype"/>
          <w:sz w:val="16"/>
          <w:szCs w:val="16"/>
        </w:rPr>
        <w:t xml:space="preserve"> California Air Resources Board, “Report: Cap-and-trade spending doubles to $1.4 billion in 2018,” (March 19, 2019) </w:t>
      </w:r>
      <w:hyperlink r:id="rId9" w:history="1">
        <w:r w:rsidRPr="00F7229F">
          <w:rPr>
            <w:rStyle w:val="Hyperlink"/>
            <w:rFonts w:ascii="Palatino Linotype" w:hAnsi="Palatino Linotype"/>
            <w:sz w:val="16"/>
            <w:szCs w:val="16"/>
          </w:rPr>
          <w:t>https://ww2.arb.ca.gov/news/report-cap-and-trade-spending-doubles-14-billion-2018</w:t>
        </w:r>
      </w:hyperlink>
      <w:r w:rsidRPr="00F7229F">
        <w:rPr>
          <w:rStyle w:val="Hyperlink"/>
          <w:rFonts w:ascii="Palatino Linotype" w:hAnsi="Palatino Linotype"/>
          <w:sz w:val="16"/>
          <w:szCs w:val="16"/>
        </w:rPr>
        <w:t>.</w:t>
      </w:r>
    </w:p>
  </w:footnote>
  <w:footnote w:id="17">
    <w:p w14:paraId="59DFB8F3" w14:textId="02D4991E" w:rsidR="00E024A1" w:rsidRPr="00F7229F" w:rsidRDefault="00E024A1" w:rsidP="006769AD">
      <w:pPr>
        <w:rPr>
          <w:rFonts w:ascii="Palatino Linotype" w:hAnsi="Palatino Linotype"/>
          <w:sz w:val="16"/>
          <w:szCs w:val="16"/>
        </w:rPr>
      </w:pPr>
      <w:r w:rsidRPr="00F7229F">
        <w:rPr>
          <w:rStyle w:val="FootnoteReference"/>
          <w:rFonts w:ascii="Palatino Linotype" w:hAnsi="Palatino Linotype"/>
          <w:sz w:val="16"/>
          <w:szCs w:val="16"/>
        </w:rPr>
        <w:t>16</w:t>
      </w:r>
      <w:r w:rsidRPr="00F7229F">
        <w:rPr>
          <w:rFonts w:ascii="Palatino Linotype" w:hAnsi="Palatino Linotype"/>
          <w:sz w:val="16"/>
          <w:szCs w:val="16"/>
        </w:rPr>
        <w:t xml:space="preserve"> Mac Taylor, Legislative Analyst’s Office, (March 4, 2016)  </w:t>
      </w:r>
      <w:hyperlink r:id="rId10" w:history="1">
        <w:r w:rsidRPr="00F7229F">
          <w:rPr>
            <w:rStyle w:val="Hyperlink"/>
            <w:rFonts w:ascii="Palatino Linotype" w:hAnsi="Palatino Linotype"/>
            <w:sz w:val="16"/>
            <w:szCs w:val="16"/>
          </w:rPr>
          <w:t>https://lao.ca.gov/reports/2016/3438/LAO-letter-Tom-Lackey-040716.pdf</w:t>
        </w:r>
      </w:hyperlink>
      <w:r w:rsidRPr="00F7229F">
        <w:rPr>
          <w:rStyle w:val="Hyperlink"/>
          <w:rFonts w:ascii="Palatino Linotype" w:hAnsi="Palatino Linotype"/>
          <w:sz w:val="16"/>
          <w:szCs w:val="16"/>
        </w:rPr>
        <w:t>.</w:t>
      </w:r>
    </w:p>
  </w:footnote>
  <w:footnote w:id="18">
    <w:p w14:paraId="6C43856D" w14:textId="155CEFEC" w:rsidR="00E024A1" w:rsidRPr="00F7229F" w:rsidRDefault="00E024A1">
      <w:pPr>
        <w:pStyle w:val="FootnoteText"/>
        <w:rPr>
          <w:rFonts w:ascii="Palatino Linotype" w:hAnsi="Palatino Linotype"/>
          <w:sz w:val="16"/>
          <w:szCs w:val="16"/>
        </w:rPr>
      </w:pPr>
      <w:r w:rsidRPr="00F7229F">
        <w:rPr>
          <w:rStyle w:val="FootnoteReference"/>
          <w:rFonts w:ascii="Palatino Linotype" w:hAnsi="Palatino Linotype"/>
          <w:sz w:val="16"/>
          <w:szCs w:val="16"/>
        </w:rPr>
        <w:t>17</w:t>
      </w:r>
      <w:r w:rsidRPr="00F7229F">
        <w:rPr>
          <w:rFonts w:ascii="Palatino Linotype" w:hAnsi="Palatino Linotype"/>
          <w:sz w:val="16"/>
          <w:szCs w:val="16"/>
        </w:rPr>
        <w:t xml:space="preserve"> Ibid, 15.</w:t>
      </w:r>
    </w:p>
  </w:footnote>
  <w:footnote w:id="19">
    <w:p w14:paraId="48F4E561" w14:textId="2D107C3B" w:rsidR="00E024A1" w:rsidRPr="00F7229F" w:rsidRDefault="00E024A1" w:rsidP="0036481A">
      <w:pPr>
        <w:pStyle w:val="FootnoteText"/>
        <w:rPr>
          <w:rFonts w:ascii="Palatino Linotype" w:hAnsi="Palatino Linotype"/>
          <w:sz w:val="16"/>
          <w:szCs w:val="16"/>
        </w:rPr>
      </w:pPr>
      <w:r w:rsidRPr="00F7229F">
        <w:rPr>
          <w:rStyle w:val="FootnoteReference"/>
          <w:rFonts w:ascii="Palatino Linotype" w:hAnsi="Palatino Linotype"/>
          <w:sz w:val="16"/>
          <w:szCs w:val="16"/>
        </w:rPr>
        <w:t>18</w:t>
      </w:r>
      <w:r w:rsidRPr="00F7229F">
        <w:rPr>
          <w:rFonts w:ascii="Palatino Linotype" w:hAnsi="Palatino Linotype"/>
          <w:sz w:val="16"/>
          <w:szCs w:val="16"/>
        </w:rPr>
        <w:t xml:space="preserve"> GHG Current California Emission Inventory Data, </w:t>
      </w:r>
      <w:hyperlink r:id="rId11" w:history="1">
        <w:r w:rsidRPr="00F7229F">
          <w:rPr>
            <w:rStyle w:val="Hyperlink"/>
            <w:rFonts w:ascii="Palatino Linotype" w:hAnsi="Palatino Linotype"/>
            <w:sz w:val="16"/>
            <w:szCs w:val="16"/>
          </w:rPr>
          <w:t>https://ww2.arb.ca.gov/ghg-inventory-data</w:t>
        </w:r>
      </w:hyperlink>
      <w:r w:rsidRPr="00F7229F">
        <w:rPr>
          <w:rFonts w:ascii="Palatino Linotype" w:hAnsi="Palatino Linotype"/>
          <w:sz w:val="16"/>
          <w:szCs w:val="16"/>
        </w:rPr>
        <w:t xml:space="preserve"> (August 22, 2020)</w:t>
      </w:r>
    </w:p>
  </w:footnote>
  <w:footnote w:id="20">
    <w:p w14:paraId="01EEA0C9" w14:textId="61C2CCA5" w:rsidR="00E024A1" w:rsidRPr="00F7229F" w:rsidRDefault="00E024A1">
      <w:pPr>
        <w:pStyle w:val="FootnoteText"/>
        <w:rPr>
          <w:rFonts w:ascii="Palatino Linotype" w:hAnsi="Palatino Linotype"/>
          <w:sz w:val="16"/>
          <w:szCs w:val="16"/>
        </w:rPr>
      </w:pPr>
      <w:r w:rsidRPr="00F7229F">
        <w:rPr>
          <w:rStyle w:val="FootnoteReference"/>
          <w:rFonts w:ascii="Palatino Linotype" w:hAnsi="Palatino Linotype"/>
          <w:sz w:val="16"/>
          <w:szCs w:val="16"/>
        </w:rPr>
        <w:t>19</w:t>
      </w:r>
      <w:r w:rsidRPr="00F7229F">
        <w:rPr>
          <w:rFonts w:ascii="Palatino Linotype" w:hAnsi="Palatino Linotype"/>
          <w:sz w:val="16"/>
          <w:szCs w:val="16"/>
        </w:rPr>
        <w:t xml:space="preserve">  California re-evaluating its landmark climate strategy, </w:t>
      </w:r>
      <w:hyperlink r:id="rId12" w:history="1">
        <w:r w:rsidRPr="00F7229F">
          <w:rPr>
            <w:rStyle w:val="Hyperlink"/>
            <w:rFonts w:ascii="Palatino Linotype" w:hAnsi="Palatino Linotype"/>
            <w:sz w:val="16"/>
            <w:szCs w:val="16"/>
          </w:rPr>
          <w:t>https://calmatters.org/environment/2020/06/california-climate-strategy-cap-trade/</w:t>
        </w:r>
      </w:hyperlink>
      <w:r w:rsidRPr="00F7229F">
        <w:rPr>
          <w:rFonts w:ascii="Palatino Linotype" w:hAnsi="Palatino Linotype"/>
          <w:sz w:val="16"/>
          <w:szCs w:val="16"/>
        </w:rPr>
        <w:t xml:space="preserve"> (August 22, 2020)</w:t>
      </w:r>
    </w:p>
  </w:footnote>
  <w:footnote w:id="21">
    <w:p w14:paraId="5F4C6231" w14:textId="3132B0DC" w:rsidR="00E024A1" w:rsidRPr="00F7229F" w:rsidRDefault="00E024A1">
      <w:pPr>
        <w:pStyle w:val="FootnoteText"/>
        <w:rPr>
          <w:rFonts w:ascii="Palatino Linotype" w:hAnsi="Palatino Linotype"/>
          <w:sz w:val="16"/>
          <w:szCs w:val="16"/>
        </w:rPr>
      </w:pPr>
      <w:r w:rsidRPr="00F7229F">
        <w:rPr>
          <w:rStyle w:val="FootnoteReference"/>
          <w:rFonts w:ascii="Palatino Linotype" w:hAnsi="Palatino Linotype"/>
          <w:sz w:val="16"/>
          <w:szCs w:val="16"/>
        </w:rPr>
        <w:t>20</w:t>
      </w:r>
      <w:r w:rsidRPr="00F7229F">
        <w:rPr>
          <w:rFonts w:ascii="Palatino Linotype" w:hAnsi="Palatino Linotype"/>
          <w:sz w:val="16"/>
          <w:szCs w:val="16"/>
        </w:rPr>
        <w:t xml:space="preserve"> Ibid, 18. </w:t>
      </w:r>
    </w:p>
  </w:footnote>
  <w:footnote w:id="22">
    <w:p w14:paraId="5C11E137" w14:textId="760F8E05" w:rsidR="00E024A1" w:rsidRPr="00F7229F" w:rsidRDefault="00E024A1">
      <w:pPr>
        <w:pStyle w:val="FootnoteText"/>
        <w:rPr>
          <w:rFonts w:ascii="Palatino Linotype" w:hAnsi="Palatino Linotype"/>
          <w:sz w:val="16"/>
          <w:szCs w:val="16"/>
        </w:rPr>
      </w:pPr>
      <w:r w:rsidRPr="00F7229F">
        <w:rPr>
          <w:rStyle w:val="FootnoteReference"/>
          <w:rFonts w:ascii="Palatino Linotype" w:hAnsi="Palatino Linotype"/>
          <w:sz w:val="16"/>
          <w:szCs w:val="16"/>
        </w:rPr>
        <w:t>21</w:t>
      </w:r>
      <w:r w:rsidRPr="00F7229F">
        <w:rPr>
          <w:rFonts w:ascii="Palatino Linotype" w:hAnsi="Palatino Linotype"/>
          <w:sz w:val="16"/>
          <w:szCs w:val="16"/>
        </w:rPr>
        <w:t xml:space="preserve"> Hal Harvey and Hu Min, “The China Carbon Market Just Launched, And It's the World's Largest. Here's How It Can Succeed,” </w:t>
      </w:r>
      <w:r w:rsidRPr="00F7229F">
        <w:rPr>
          <w:rFonts w:ascii="Palatino Linotype" w:hAnsi="Palatino Linotype"/>
          <w:i/>
          <w:iCs/>
          <w:sz w:val="16"/>
          <w:szCs w:val="16"/>
        </w:rPr>
        <w:t>Forbes</w:t>
      </w:r>
      <w:r w:rsidRPr="00F7229F">
        <w:rPr>
          <w:rFonts w:ascii="Palatino Linotype" w:hAnsi="Palatino Linotype"/>
          <w:sz w:val="16"/>
          <w:szCs w:val="16"/>
        </w:rPr>
        <w:t xml:space="preserve">, (December 19, 2017), </w:t>
      </w:r>
      <w:hyperlink r:id="rId13" w:anchor="2671f2a37ce6" w:history="1">
        <w:r w:rsidRPr="00F7229F">
          <w:rPr>
            <w:rStyle w:val="Hyperlink"/>
            <w:rFonts w:ascii="Palatino Linotype" w:hAnsi="Palatino Linotype"/>
            <w:sz w:val="16"/>
            <w:szCs w:val="16"/>
          </w:rPr>
          <w:t>https://www.forbes.com/sites/energyinnovation/2017/12/19/the-china-carbon-market-just-launched-and-its-the-worlds-largest-heres-how-it-can-succeed/#2671f2a37ce6</w:t>
        </w:r>
      </w:hyperlink>
      <w:r w:rsidRPr="00F7229F">
        <w:rPr>
          <w:rStyle w:val="Hyperlink"/>
          <w:rFonts w:ascii="Palatino Linotype" w:hAnsi="Palatino Linotype"/>
          <w:sz w:val="16"/>
          <w:szCs w:val="16"/>
        </w:rPr>
        <w:t>.</w:t>
      </w:r>
    </w:p>
  </w:footnote>
  <w:footnote w:id="23">
    <w:p w14:paraId="5703278F" w14:textId="7F67CABC" w:rsidR="00E024A1" w:rsidRPr="00F7229F" w:rsidRDefault="00E024A1">
      <w:pPr>
        <w:pStyle w:val="FootnoteText"/>
        <w:rPr>
          <w:rFonts w:ascii="Palatino Linotype" w:hAnsi="Palatino Linotype"/>
          <w:sz w:val="16"/>
          <w:szCs w:val="16"/>
        </w:rPr>
      </w:pPr>
      <w:r w:rsidRPr="00F7229F">
        <w:rPr>
          <w:rStyle w:val="FootnoteReference"/>
          <w:rFonts w:ascii="Palatino Linotype" w:hAnsi="Palatino Linotype"/>
          <w:sz w:val="16"/>
          <w:szCs w:val="16"/>
        </w:rPr>
        <w:t>22</w:t>
      </w:r>
      <w:r w:rsidRPr="00F7229F">
        <w:rPr>
          <w:rFonts w:ascii="Palatino Linotype" w:hAnsi="Palatino Linotype"/>
          <w:sz w:val="16"/>
          <w:szCs w:val="16"/>
        </w:rPr>
        <w:t xml:space="preserve"> Liu Quiang, Tian Chuan, et al, “Climate and Energy Policy Solutions for China: Quantitative Analysis and Policy Recommendations for the 13th Five-Year Plan,” (July 2016), </w:t>
      </w:r>
      <w:hyperlink r:id="rId14" w:history="1">
        <w:r w:rsidRPr="00F7229F">
          <w:rPr>
            <w:rStyle w:val="Hyperlink"/>
            <w:rFonts w:ascii="Palatino Linotype" w:hAnsi="Palatino Linotype"/>
            <w:sz w:val="16"/>
            <w:szCs w:val="16"/>
          </w:rPr>
          <w:t>https://china.energypolicy.solutions/docs/20160704_ExecutiveSummary_EN--FINAL.pdf</w:t>
        </w:r>
      </w:hyperlink>
      <w:r w:rsidRPr="00F7229F">
        <w:rPr>
          <w:rStyle w:val="Hyperlink"/>
          <w:rFonts w:ascii="Palatino Linotype" w:hAnsi="Palatino Linotype"/>
          <w:sz w:val="16"/>
          <w:szCs w:val="16"/>
        </w:rPr>
        <w:t>.</w:t>
      </w:r>
    </w:p>
  </w:footnote>
  <w:footnote w:id="24">
    <w:p w14:paraId="7592D550" w14:textId="416808F6" w:rsidR="00E024A1" w:rsidRPr="00F7229F" w:rsidRDefault="00E024A1">
      <w:pPr>
        <w:pStyle w:val="FootnoteText"/>
        <w:rPr>
          <w:rFonts w:ascii="Palatino Linotype" w:hAnsi="Palatino Linotype"/>
          <w:sz w:val="16"/>
          <w:szCs w:val="16"/>
        </w:rPr>
      </w:pPr>
      <w:r w:rsidRPr="00F7229F">
        <w:rPr>
          <w:rStyle w:val="FootnoteReference"/>
          <w:rFonts w:ascii="Palatino Linotype" w:hAnsi="Palatino Linotype"/>
          <w:sz w:val="16"/>
          <w:szCs w:val="16"/>
        </w:rPr>
        <w:t>23</w:t>
      </w:r>
      <w:r w:rsidRPr="00F7229F">
        <w:rPr>
          <w:rFonts w:ascii="Palatino Linotype" w:hAnsi="Palatino Linotype"/>
          <w:sz w:val="16"/>
          <w:szCs w:val="16"/>
        </w:rPr>
        <w:t xml:space="preserve"> Ibid, 18.</w:t>
      </w:r>
    </w:p>
  </w:footnote>
  <w:footnote w:id="25">
    <w:p w14:paraId="598176C9" w14:textId="0B667196" w:rsidR="00E024A1" w:rsidRPr="00F7229F" w:rsidRDefault="00E024A1">
      <w:pPr>
        <w:pStyle w:val="FootnoteText"/>
        <w:rPr>
          <w:rFonts w:ascii="Palatino Linotype" w:hAnsi="Palatino Linotype"/>
          <w:sz w:val="16"/>
          <w:szCs w:val="16"/>
        </w:rPr>
      </w:pPr>
      <w:r w:rsidRPr="00F7229F">
        <w:rPr>
          <w:rStyle w:val="FootnoteReference"/>
          <w:rFonts w:ascii="Palatino Linotype" w:hAnsi="Palatino Linotype"/>
          <w:sz w:val="16"/>
          <w:szCs w:val="16"/>
        </w:rPr>
        <w:t>24</w:t>
      </w:r>
      <w:r w:rsidRPr="00F7229F">
        <w:rPr>
          <w:rFonts w:ascii="Palatino Linotype" w:hAnsi="Palatino Linotype"/>
          <w:sz w:val="16"/>
          <w:szCs w:val="16"/>
        </w:rPr>
        <w:t xml:space="preserve"> Virginia Institute of Marine Science, “Virginia Accomplishments Since the 2008 Climate Action Plan Release,” (December 2014) </w:t>
      </w:r>
      <w:hyperlink r:id="rId15" w:history="1">
        <w:r w:rsidRPr="00F7229F">
          <w:rPr>
            <w:rStyle w:val="Hyperlink"/>
            <w:rFonts w:ascii="Palatino Linotype" w:hAnsi="Palatino Linotype"/>
            <w:sz w:val="16"/>
            <w:szCs w:val="16"/>
          </w:rPr>
          <w:t>http://ccrm.vims.edu/Report_FINAL_ExeSum.pdf</w:t>
        </w:r>
      </w:hyperlink>
      <w:r w:rsidRPr="00F7229F">
        <w:rPr>
          <w:rStyle w:val="Hyperlink"/>
          <w:rFonts w:ascii="Palatino Linotype" w:hAnsi="Palatino Linotype"/>
          <w:sz w:val="16"/>
          <w:szCs w:val="16"/>
        </w:rPr>
        <w:t>.</w:t>
      </w:r>
      <w:r w:rsidRPr="00F7229F">
        <w:rPr>
          <w:rFonts w:ascii="Palatino Linotype" w:hAnsi="Palatino Linotype"/>
          <w:sz w:val="16"/>
          <w:szCs w:val="16"/>
        </w:rPr>
        <w:t xml:space="preserve"> </w:t>
      </w:r>
    </w:p>
    <w:p w14:paraId="56B6E40B" w14:textId="77777777" w:rsidR="00E024A1" w:rsidRPr="00F7229F" w:rsidRDefault="00E024A1">
      <w:pPr>
        <w:pStyle w:val="FootnoteText"/>
        <w:rPr>
          <w:rFonts w:ascii="Palatino Linotype" w:hAnsi="Palatino Linotype"/>
          <w:sz w:val="16"/>
          <w:szCs w:val="16"/>
        </w:rPr>
      </w:pPr>
    </w:p>
  </w:footnote>
  <w:footnote w:id="26">
    <w:p w14:paraId="00382E29" w14:textId="788E57E1" w:rsidR="00E024A1" w:rsidRPr="00F7229F" w:rsidRDefault="00E024A1">
      <w:pPr>
        <w:pStyle w:val="FootnoteText"/>
        <w:rPr>
          <w:rFonts w:ascii="Palatino Linotype" w:hAnsi="Palatino Linotype"/>
          <w:sz w:val="16"/>
          <w:szCs w:val="16"/>
        </w:rPr>
      </w:pPr>
      <w:r w:rsidRPr="00F7229F">
        <w:rPr>
          <w:rStyle w:val="FootnoteReference"/>
          <w:rFonts w:ascii="Palatino Linotype" w:hAnsi="Palatino Linotype"/>
          <w:sz w:val="16"/>
          <w:szCs w:val="16"/>
        </w:rPr>
        <w:t>25</w:t>
      </w:r>
      <w:r w:rsidRPr="00F7229F">
        <w:rPr>
          <w:rFonts w:ascii="Palatino Linotype" w:hAnsi="Palatino Linotype"/>
          <w:sz w:val="16"/>
          <w:szCs w:val="16"/>
        </w:rPr>
        <w:t xml:space="preserve"> RGGI States Welcome Virginia as Its CO2 Regulation Is Finalized, (Accessed October 25, 2020), </w:t>
      </w:r>
      <w:hyperlink r:id="rId16" w:history="1">
        <w:r w:rsidRPr="00F7229F">
          <w:rPr>
            <w:rStyle w:val="Hyperlink"/>
            <w:rFonts w:ascii="Palatino Linotype" w:hAnsi="Palatino Linotype"/>
            <w:sz w:val="16"/>
            <w:szCs w:val="16"/>
          </w:rPr>
          <w:t>https://www.rggi.org/sites/default/files/Uploads/Press-Releases/2020_07_08_VA_Announcement_Release.pdf</w:t>
        </w:r>
      </w:hyperlink>
      <w:r w:rsidRPr="00F7229F">
        <w:rPr>
          <w:rFonts w:ascii="Palatino Linotype" w:hAnsi="Palatino Linotype"/>
          <w:sz w:val="16"/>
          <w:szCs w:val="16"/>
        </w:rPr>
        <w:t xml:space="preserve"> </w:t>
      </w:r>
    </w:p>
  </w:footnote>
  <w:footnote w:id="27">
    <w:p w14:paraId="5D521704" w14:textId="2986E38A" w:rsidR="00E024A1" w:rsidRPr="00F7229F" w:rsidRDefault="00E024A1" w:rsidP="005908F6">
      <w:pPr>
        <w:pStyle w:val="FootnoteText"/>
        <w:rPr>
          <w:rFonts w:ascii="Palatino Linotype" w:hAnsi="Palatino Linotype"/>
          <w:sz w:val="16"/>
          <w:szCs w:val="16"/>
        </w:rPr>
      </w:pPr>
      <w:r w:rsidRPr="00F7229F">
        <w:rPr>
          <w:rStyle w:val="FootnoteReference"/>
          <w:rFonts w:ascii="Palatino Linotype" w:hAnsi="Palatino Linotype"/>
          <w:sz w:val="16"/>
          <w:szCs w:val="16"/>
        </w:rPr>
        <w:t>26</w:t>
      </w:r>
      <w:r w:rsidRPr="00F7229F">
        <w:rPr>
          <w:rFonts w:ascii="Palatino Linotype" w:hAnsi="Palatino Linotype"/>
          <w:sz w:val="16"/>
          <w:szCs w:val="16"/>
        </w:rPr>
        <w:t xml:space="preserve"> Ibid, 24.</w:t>
      </w:r>
    </w:p>
  </w:footnote>
  <w:footnote w:id="28">
    <w:p w14:paraId="6843A281" w14:textId="5EE304E8" w:rsidR="00E024A1" w:rsidRPr="00F7229F" w:rsidRDefault="00E024A1">
      <w:pPr>
        <w:pStyle w:val="FootnoteText"/>
        <w:rPr>
          <w:rFonts w:ascii="Palatino Linotype" w:hAnsi="Palatino Linotype"/>
          <w:sz w:val="16"/>
          <w:szCs w:val="16"/>
        </w:rPr>
      </w:pPr>
      <w:r w:rsidRPr="00F7229F">
        <w:rPr>
          <w:rStyle w:val="FootnoteReference"/>
          <w:rFonts w:ascii="Palatino Linotype" w:hAnsi="Palatino Linotype"/>
          <w:sz w:val="16"/>
          <w:szCs w:val="16"/>
        </w:rPr>
        <w:t>27</w:t>
      </w:r>
      <w:r w:rsidRPr="00F7229F">
        <w:rPr>
          <w:rFonts w:ascii="Palatino Linotype" w:hAnsi="Palatino Linotype"/>
          <w:sz w:val="16"/>
          <w:szCs w:val="16"/>
        </w:rPr>
        <w:t xml:space="preserve"> Ryan Murphy, “Norfolk’s $112 million Flooding Plan Will Fortify One Neighborhood and Test Other Solutions,” </w:t>
      </w:r>
      <w:r w:rsidRPr="00F7229F">
        <w:rPr>
          <w:rFonts w:ascii="Palatino Linotype" w:hAnsi="Palatino Linotype"/>
          <w:i/>
          <w:iCs/>
          <w:sz w:val="16"/>
          <w:szCs w:val="16"/>
        </w:rPr>
        <w:t>The Virginia Pilot</w:t>
      </w:r>
      <w:r w:rsidRPr="00F7229F">
        <w:rPr>
          <w:rFonts w:ascii="Palatino Linotype" w:hAnsi="Palatino Linotype"/>
          <w:sz w:val="16"/>
          <w:szCs w:val="16"/>
        </w:rPr>
        <w:t xml:space="preserve">, (January 14, 2019),  </w:t>
      </w:r>
      <w:hyperlink r:id="rId17" w:history="1">
        <w:r w:rsidRPr="00F7229F">
          <w:rPr>
            <w:rStyle w:val="Hyperlink"/>
            <w:rFonts w:ascii="Palatino Linotype" w:hAnsi="Palatino Linotype"/>
            <w:sz w:val="16"/>
            <w:szCs w:val="16"/>
          </w:rPr>
          <w:t>https://www.pilotonline.com/news/environment/article_6266e882-1819-11e9-99ff-23a687267a29.html</w:t>
        </w:r>
      </w:hyperlink>
      <w:r w:rsidRPr="00F7229F">
        <w:rPr>
          <w:rStyle w:val="Hyperlink"/>
          <w:rFonts w:ascii="Palatino Linotype" w:hAnsi="Palatino Linotype"/>
          <w:sz w:val="16"/>
          <w:szCs w:val="16"/>
        </w:rPr>
        <w:t>.</w:t>
      </w:r>
    </w:p>
  </w:footnote>
  <w:footnote w:id="29">
    <w:p w14:paraId="5B0C7E56" w14:textId="0E583827" w:rsidR="00E024A1" w:rsidRPr="00F7229F" w:rsidRDefault="00E024A1">
      <w:pPr>
        <w:pStyle w:val="FootnoteText"/>
        <w:rPr>
          <w:rFonts w:ascii="Palatino Linotype" w:hAnsi="Palatino Linotype"/>
          <w:sz w:val="16"/>
          <w:szCs w:val="16"/>
        </w:rPr>
      </w:pPr>
      <w:r w:rsidRPr="00F7229F">
        <w:rPr>
          <w:rStyle w:val="FootnoteReference"/>
          <w:rFonts w:ascii="Palatino Linotype" w:hAnsi="Palatino Linotype"/>
          <w:sz w:val="16"/>
          <w:szCs w:val="16"/>
        </w:rPr>
        <w:t>28</w:t>
      </w:r>
      <w:r w:rsidRPr="00F7229F">
        <w:rPr>
          <w:rFonts w:ascii="Palatino Linotype" w:hAnsi="Palatino Linotype"/>
          <w:sz w:val="16"/>
          <w:szCs w:val="16"/>
        </w:rPr>
        <w:t xml:space="preserve"> Sarah Rankin, “Virginia Governor Sets Renewable Energy Goal: 100% by 2050,” Associated Press, (September 17, 2019), </w:t>
      </w:r>
      <w:hyperlink r:id="rId18" w:history="1">
        <w:r w:rsidRPr="00F7229F">
          <w:rPr>
            <w:rStyle w:val="Hyperlink"/>
            <w:rFonts w:ascii="Palatino Linotype" w:hAnsi="Palatino Linotype"/>
            <w:sz w:val="16"/>
            <w:szCs w:val="16"/>
          </w:rPr>
          <w:t>https://apnews.com/eb973425398f4eb4b4d368b21d7a45c3</w:t>
        </w:r>
      </w:hyperlink>
      <w:r w:rsidRPr="00F7229F">
        <w:rPr>
          <w:rFonts w:ascii="Palatino Linotype" w:hAnsi="Palatino Linotype"/>
          <w:sz w:val="16"/>
          <w:szCs w:val="16"/>
        </w:rPr>
        <w:t xml:space="preserve"> </w:t>
      </w:r>
    </w:p>
  </w:footnote>
  <w:footnote w:id="30">
    <w:p w14:paraId="00C75FC9" w14:textId="416B6E30" w:rsidR="00E024A1" w:rsidRPr="00F7229F" w:rsidRDefault="00E024A1">
      <w:pPr>
        <w:pStyle w:val="FootnoteText"/>
        <w:rPr>
          <w:rFonts w:ascii="Palatino Linotype" w:hAnsi="Palatino Linotype"/>
          <w:sz w:val="16"/>
          <w:szCs w:val="16"/>
        </w:rPr>
      </w:pPr>
      <w:r w:rsidRPr="00F7229F">
        <w:rPr>
          <w:rStyle w:val="FootnoteReference"/>
          <w:rFonts w:ascii="Palatino Linotype" w:hAnsi="Palatino Linotype"/>
          <w:sz w:val="16"/>
          <w:szCs w:val="16"/>
        </w:rPr>
        <w:t>29</w:t>
      </w:r>
      <w:r w:rsidRPr="00F7229F">
        <w:rPr>
          <w:rFonts w:ascii="Palatino Linotype" w:hAnsi="Palatino Linotype"/>
          <w:sz w:val="16"/>
          <w:szCs w:val="16"/>
        </w:rPr>
        <w:t xml:space="preserve"> Virginia Clean Economy Act, </w:t>
      </w:r>
      <w:hyperlink r:id="rId19" w:history="1">
        <w:r w:rsidRPr="00F7229F">
          <w:rPr>
            <w:rStyle w:val="Hyperlink"/>
            <w:rFonts w:ascii="Palatino Linotype" w:hAnsi="Palatino Linotype"/>
            <w:sz w:val="16"/>
            <w:szCs w:val="16"/>
          </w:rPr>
          <w:t>https://lis.virginia.gov/cgi-bin/legp604.exe?201+sum+HB1526</w:t>
        </w:r>
      </w:hyperlink>
      <w:r w:rsidRPr="00F7229F">
        <w:rPr>
          <w:rFonts w:ascii="Palatino Linotype" w:hAnsi="Palatino Linotype"/>
          <w:sz w:val="16"/>
          <w:szCs w:val="16"/>
        </w:rPr>
        <w:t xml:space="preserve"> (October 5, 2020)</w:t>
      </w:r>
    </w:p>
  </w:footnote>
  <w:footnote w:id="31">
    <w:p w14:paraId="0777F9F8" w14:textId="39F4D320" w:rsidR="00E024A1" w:rsidRPr="00F7229F" w:rsidRDefault="00E024A1">
      <w:pPr>
        <w:pStyle w:val="FootnoteText"/>
        <w:rPr>
          <w:rFonts w:ascii="Palatino Linotype" w:hAnsi="Palatino Linotype"/>
          <w:sz w:val="16"/>
          <w:szCs w:val="16"/>
        </w:rPr>
      </w:pPr>
      <w:r w:rsidRPr="00F7229F">
        <w:rPr>
          <w:rStyle w:val="FootnoteReference"/>
          <w:rFonts w:ascii="Palatino Linotype" w:hAnsi="Palatino Linotype"/>
          <w:sz w:val="16"/>
          <w:szCs w:val="16"/>
        </w:rPr>
        <w:t>30</w:t>
      </w:r>
      <w:r w:rsidRPr="00F7229F">
        <w:rPr>
          <w:rFonts w:ascii="Palatino Linotype" w:hAnsi="Palatino Linotype"/>
          <w:sz w:val="16"/>
          <w:szCs w:val="16"/>
        </w:rPr>
        <w:t xml:space="preserve"> Ibid, 28.</w:t>
      </w:r>
    </w:p>
  </w:footnote>
  <w:footnote w:id="32">
    <w:p w14:paraId="4BF668EC" w14:textId="7A1309F5" w:rsidR="00E024A1" w:rsidRPr="00F7229F" w:rsidRDefault="00E024A1">
      <w:pPr>
        <w:pStyle w:val="FootnoteText"/>
        <w:rPr>
          <w:rFonts w:ascii="Palatino Linotype" w:hAnsi="Palatino Linotype"/>
          <w:sz w:val="16"/>
          <w:szCs w:val="16"/>
        </w:rPr>
      </w:pPr>
      <w:r w:rsidRPr="00F7229F">
        <w:rPr>
          <w:rStyle w:val="FootnoteReference"/>
          <w:rFonts w:ascii="Palatino Linotype" w:hAnsi="Palatino Linotype"/>
          <w:sz w:val="16"/>
          <w:szCs w:val="16"/>
        </w:rPr>
        <w:t>31</w:t>
      </w:r>
      <w:r w:rsidRPr="00F7229F">
        <w:rPr>
          <w:rFonts w:ascii="Palatino Linotype" w:hAnsi="Palatino Linotype"/>
          <w:sz w:val="16"/>
          <w:szCs w:val="16"/>
        </w:rPr>
        <w:t xml:space="preserve"> Ibid, 28.</w:t>
      </w:r>
    </w:p>
  </w:footnote>
  <w:footnote w:id="33">
    <w:p w14:paraId="0842E284" w14:textId="6289905C" w:rsidR="00E024A1" w:rsidRPr="00F7229F" w:rsidRDefault="00E024A1">
      <w:pPr>
        <w:pStyle w:val="FootnoteText"/>
        <w:rPr>
          <w:rFonts w:ascii="Palatino Linotype" w:hAnsi="Palatino Linotype"/>
          <w:sz w:val="16"/>
          <w:szCs w:val="16"/>
        </w:rPr>
      </w:pPr>
      <w:r w:rsidRPr="00F7229F">
        <w:rPr>
          <w:rStyle w:val="FootnoteReference"/>
          <w:rFonts w:ascii="Palatino Linotype" w:hAnsi="Palatino Linotype"/>
          <w:sz w:val="16"/>
          <w:szCs w:val="16"/>
        </w:rPr>
        <w:t>32</w:t>
      </w:r>
      <w:r w:rsidRPr="00F7229F">
        <w:rPr>
          <w:rFonts w:ascii="Palatino Linotype" w:hAnsi="Palatino Linotype"/>
          <w:sz w:val="16"/>
          <w:szCs w:val="16"/>
        </w:rPr>
        <w:t xml:space="preserve"> Ibid, 28.</w:t>
      </w:r>
    </w:p>
  </w:footnote>
  <w:footnote w:id="34">
    <w:p w14:paraId="5A3C750D" w14:textId="70587626" w:rsidR="00E024A1" w:rsidRPr="00F7229F" w:rsidRDefault="00E024A1">
      <w:pPr>
        <w:pStyle w:val="FootnoteText"/>
        <w:rPr>
          <w:rFonts w:ascii="Palatino Linotype" w:hAnsi="Palatino Linotype"/>
          <w:sz w:val="16"/>
          <w:szCs w:val="16"/>
        </w:rPr>
      </w:pPr>
      <w:r w:rsidRPr="00F7229F">
        <w:rPr>
          <w:rStyle w:val="FootnoteReference"/>
          <w:rFonts w:ascii="Palatino Linotype" w:hAnsi="Palatino Linotype"/>
          <w:sz w:val="16"/>
          <w:szCs w:val="16"/>
        </w:rPr>
        <w:t>33</w:t>
      </w:r>
      <w:r w:rsidRPr="00F7229F">
        <w:rPr>
          <w:rFonts w:ascii="Palatino Linotype" w:hAnsi="Palatino Linotype"/>
          <w:sz w:val="16"/>
          <w:szCs w:val="16"/>
        </w:rPr>
        <w:t xml:space="preserve"> Summary of the pe-filed testimony of Carol B. Myers, Customer Bill Impacts, </w:t>
      </w:r>
      <w:hyperlink r:id="rId20" w:history="1">
        <w:r w:rsidRPr="00F7229F">
          <w:rPr>
            <w:rStyle w:val="Hyperlink"/>
            <w:rFonts w:ascii="Palatino Linotype" w:hAnsi="Palatino Linotype"/>
            <w:sz w:val="16"/>
            <w:szCs w:val="16"/>
          </w:rPr>
          <w:t>https://www.baconsrebellion.com/app/uploads/2020/10/PUR-2020-00035-Myers-Testimony-FINAL.pdf</w:t>
        </w:r>
      </w:hyperlink>
      <w:r w:rsidRPr="00F7229F">
        <w:rPr>
          <w:rFonts w:ascii="Palatino Linotype" w:hAnsi="Palatino Linotype"/>
          <w:sz w:val="16"/>
          <w:szCs w:val="16"/>
        </w:rPr>
        <w:t xml:space="preserve"> </w:t>
      </w:r>
    </w:p>
  </w:footnote>
  <w:footnote w:id="35">
    <w:p w14:paraId="7E515BEF" w14:textId="7D81534E" w:rsidR="00E024A1" w:rsidRPr="00F7229F" w:rsidRDefault="00E024A1">
      <w:pPr>
        <w:pStyle w:val="FootnoteText"/>
        <w:rPr>
          <w:rFonts w:ascii="Palatino Linotype" w:hAnsi="Palatino Linotype"/>
          <w:sz w:val="16"/>
          <w:szCs w:val="16"/>
        </w:rPr>
      </w:pPr>
      <w:r w:rsidRPr="00F7229F">
        <w:rPr>
          <w:rStyle w:val="FootnoteReference"/>
          <w:rFonts w:ascii="Palatino Linotype" w:hAnsi="Palatino Linotype"/>
          <w:sz w:val="16"/>
          <w:szCs w:val="16"/>
        </w:rPr>
        <w:t>34</w:t>
      </w:r>
      <w:r w:rsidRPr="00F7229F">
        <w:rPr>
          <w:rFonts w:ascii="Palatino Linotype" w:hAnsi="Palatino Linotype"/>
          <w:sz w:val="16"/>
          <w:szCs w:val="16"/>
        </w:rPr>
        <w:t xml:space="preserve"> House Bill 1541, </w:t>
      </w:r>
      <w:hyperlink r:id="rId21" w:history="1">
        <w:r w:rsidRPr="00F7229F">
          <w:rPr>
            <w:rStyle w:val="Hyperlink"/>
            <w:rFonts w:ascii="Palatino Linotype" w:hAnsi="Palatino Linotype"/>
            <w:sz w:val="16"/>
            <w:szCs w:val="16"/>
          </w:rPr>
          <w:t>https://lis.virginia.gov/cgi-bin/legp604.exe?201+sum+HB1541</w:t>
        </w:r>
      </w:hyperlink>
      <w:r w:rsidRPr="00F7229F">
        <w:rPr>
          <w:rFonts w:ascii="Palatino Linotype" w:hAnsi="Palatino Linotype"/>
          <w:sz w:val="16"/>
          <w:szCs w:val="16"/>
        </w:rPr>
        <w:t xml:space="preserve"> (October 5, 2020)</w:t>
      </w:r>
    </w:p>
  </w:footnote>
  <w:footnote w:id="36">
    <w:p w14:paraId="4E804BF6" w14:textId="648D6752" w:rsidR="00E024A1" w:rsidRPr="00F7229F" w:rsidRDefault="00E024A1">
      <w:pPr>
        <w:pStyle w:val="FootnoteText"/>
        <w:rPr>
          <w:rFonts w:ascii="Palatino Linotype" w:hAnsi="Palatino Linotype"/>
          <w:sz w:val="16"/>
          <w:szCs w:val="16"/>
        </w:rPr>
      </w:pPr>
      <w:r w:rsidRPr="00F7229F">
        <w:rPr>
          <w:rStyle w:val="FootnoteReference"/>
          <w:rFonts w:ascii="Palatino Linotype" w:hAnsi="Palatino Linotype"/>
          <w:sz w:val="16"/>
          <w:szCs w:val="16"/>
        </w:rPr>
        <w:t>35</w:t>
      </w:r>
      <w:r w:rsidRPr="00F7229F">
        <w:rPr>
          <w:rFonts w:ascii="Palatino Linotype" w:hAnsi="Palatino Linotype"/>
          <w:sz w:val="16"/>
          <w:szCs w:val="16"/>
        </w:rPr>
        <w:t xml:space="preserve"> Ibid, 32.</w:t>
      </w:r>
    </w:p>
  </w:footnote>
  <w:footnote w:id="37">
    <w:p w14:paraId="19AFB527" w14:textId="000D077C" w:rsidR="00E024A1" w:rsidRPr="00F7229F" w:rsidRDefault="00E024A1">
      <w:pPr>
        <w:pStyle w:val="FootnoteText"/>
        <w:rPr>
          <w:rFonts w:ascii="Palatino Linotype" w:hAnsi="Palatino Linotype"/>
          <w:sz w:val="16"/>
          <w:szCs w:val="16"/>
        </w:rPr>
      </w:pPr>
      <w:r w:rsidRPr="00F7229F">
        <w:rPr>
          <w:rStyle w:val="FootnoteReference"/>
          <w:rFonts w:ascii="Palatino Linotype" w:hAnsi="Palatino Linotype"/>
          <w:sz w:val="16"/>
          <w:szCs w:val="16"/>
        </w:rPr>
        <w:t>36</w:t>
      </w:r>
      <w:r w:rsidRPr="00F7229F">
        <w:rPr>
          <w:rFonts w:ascii="Palatino Linotype" w:hAnsi="Palatino Linotype"/>
          <w:sz w:val="16"/>
          <w:szCs w:val="16"/>
        </w:rPr>
        <w:t xml:space="preserve"> Ibid, 32.</w:t>
      </w:r>
    </w:p>
  </w:footnote>
  <w:footnote w:id="38">
    <w:p w14:paraId="0169AB7C" w14:textId="24BFA822" w:rsidR="00E024A1" w:rsidRPr="00F7229F" w:rsidRDefault="00E024A1">
      <w:pPr>
        <w:pStyle w:val="FootnoteText"/>
        <w:rPr>
          <w:rFonts w:ascii="Palatino Linotype" w:hAnsi="Palatino Linotype"/>
          <w:sz w:val="16"/>
          <w:szCs w:val="16"/>
        </w:rPr>
      </w:pPr>
      <w:r w:rsidRPr="00F7229F">
        <w:rPr>
          <w:rStyle w:val="FootnoteReference"/>
          <w:rFonts w:ascii="Palatino Linotype" w:hAnsi="Palatino Linotype"/>
          <w:sz w:val="16"/>
          <w:szCs w:val="16"/>
        </w:rPr>
        <w:t>37</w:t>
      </w:r>
      <w:r w:rsidRPr="00F7229F">
        <w:rPr>
          <w:rFonts w:ascii="Palatino Linotype" w:hAnsi="Palatino Linotype"/>
          <w:sz w:val="16"/>
          <w:szCs w:val="16"/>
        </w:rPr>
        <w:t xml:space="preserve"> Ibid, 32. </w:t>
      </w:r>
    </w:p>
  </w:footnote>
  <w:footnote w:id="39">
    <w:p w14:paraId="3CF6E5C3" w14:textId="2AE245E3" w:rsidR="00E024A1" w:rsidRPr="00F7229F" w:rsidRDefault="00E024A1">
      <w:pPr>
        <w:pStyle w:val="FootnoteText"/>
        <w:rPr>
          <w:rFonts w:ascii="Palatino Linotype" w:hAnsi="Palatino Linotype"/>
          <w:sz w:val="16"/>
          <w:szCs w:val="16"/>
        </w:rPr>
      </w:pPr>
      <w:r w:rsidRPr="00F7229F">
        <w:rPr>
          <w:rStyle w:val="FootnoteReference"/>
          <w:rFonts w:ascii="Palatino Linotype" w:hAnsi="Palatino Linotype"/>
          <w:sz w:val="16"/>
          <w:szCs w:val="16"/>
        </w:rPr>
        <w:t>38</w:t>
      </w:r>
      <w:r w:rsidRPr="00F7229F">
        <w:rPr>
          <w:rFonts w:ascii="Palatino Linotype" w:hAnsi="Palatino Linotype"/>
          <w:sz w:val="16"/>
          <w:szCs w:val="16"/>
        </w:rPr>
        <w:t xml:space="preserve"> House Bill 1414, </w:t>
      </w:r>
      <w:hyperlink r:id="rId22" w:history="1">
        <w:r w:rsidRPr="00F7229F">
          <w:rPr>
            <w:rStyle w:val="Hyperlink"/>
            <w:rFonts w:ascii="Palatino Linotype" w:hAnsi="Palatino Linotype"/>
            <w:sz w:val="16"/>
            <w:szCs w:val="16"/>
          </w:rPr>
          <w:t>https://lis.virginia.gov/cgi-bin/legp604.exe?201+sum+HB1414</w:t>
        </w:r>
      </w:hyperlink>
      <w:r w:rsidRPr="00F7229F">
        <w:rPr>
          <w:rFonts w:ascii="Palatino Linotype" w:hAnsi="Palatino Linotype"/>
          <w:sz w:val="16"/>
          <w:szCs w:val="16"/>
        </w:rPr>
        <w:t xml:space="preserve"> (October 5, 2020)</w:t>
      </w:r>
    </w:p>
  </w:footnote>
  <w:footnote w:id="40">
    <w:p w14:paraId="427A373E" w14:textId="7B9CB545" w:rsidR="00E024A1" w:rsidRPr="00F7229F" w:rsidRDefault="00E024A1">
      <w:pPr>
        <w:pStyle w:val="FootnoteText"/>
        <w:rPr>
          <w:rFonts w:ascii="Palatino Linotype" w:hAnsi="Palatino Linotype"/>
          <w:sz w:val="16"/>
          <w:szCs w:val="16"/>
        </w:rPr>
      </w:pPr>
      <w:r w:rsidRPr="00F7229F">
        <w:rPr>
          <w:rStyle w:val="FootnoteReference"/>
          <w:rFonts w:ascii="Palatino Linotype" w:hAnsi="Palatino Linotype"/>
          <w:sz w:val="16"/>
          <w:szCs w:val="16"/>
        </w:rPr>
        <w:t>39</w:t>
      </w:r>
      <w:r w:rsidRPr="00F7229F">
        <w:rPr>
          <w:rFonts w:ascii="Palatino Linotype" w:hAnsi="Palatino Linotype"/>
          <w:sz w:val="16"/>
          <w:szCs w:val="16"/>
        </w:rPr>
        <w:t xml:space="preserve"> Ibid, 36.</w:t>
      </w:r>
    </w:p>
  </w:footnote>
  <w:footnote w:id="41">
    <w:p w14:paraId="2778672F" w14:textId="2313BB05" w:rsidR="00E024A1" w:rsidRPr="00F7229F" w:rsidRDefault="00E024A1">
      <w:pPr>
        <w:pStyle w:val="FootnoteText"/>
        <w:rPr>
          <w:rFonts w:ascii="Palatino Linotype" w:hAnsi="Palatino Linotype"/>
          <w:sz w:val="16"/>
          <w:szCs w:val="16"/>
        </w:rPr>
      </w:pPr>
      <w:r w:rsidRPr="00F7229F">
        <w:rPr>
          <w:rStyle w:val="FootnoteReference"/>
          <w:rFonts w:ascii="Palatino Linotype" w:hAnsi="Palatino Linotype"/>
          <w:sz w:val="16"/>
          <w:szCs w:val="16"/>
        </w:rPr>
        <w:t>40</w:t>
      </w:r>
      <w:r w:rsidRPr="00F7229F">
        <w:rPr>
          <w:rFonts w:ascii="Palatino Linotype" w:hAnsi="Palatino Linotype"/>
          <w:sz w:val="16"/>
          <w:szCs w:val="16"/>
        </w:rPr>
        <w:t xml:space="preserve"> Ibid, 36.</w:t>
      </w:r>
    </w:p>
  </w:footnote>
  <w:footnote w:id="42">
    <w:p w14:paraId="2ED4E52C" w14:textId="345464A4" w:rsidR="00E024A1" w:rsidRPr="00F7229F" w:rsidRDefault="00E024A1">
      <w:pPr>
        <w:pStyle w:val="FootnoteText"/>
        <w:rPr>
          <w:rFonts w:ascii="Palatino Linotype" w:hAnsi="Palatino Linotype"/>
          <w:sz w:val="16"/>
          <w:szCs w:val="16"/>
        </w:rPr>
      </w:pPr>
      <w:r w:rsidRPr="00F7229F">
        <w:rPr>
          <w:rStyle w:val="FootnoteReference"/>
          <w:rFonts w:ascii="Palatino Linotype" w:hAnsi="Palatino Linotype"/>
          <w:sz w:val="16"/>
          <w:szCs w:val="16"/>
        </w:rPr>
        <w:t>41</w:t>
      </w:r>
      <w:r w:rsidRPr="00F7229F">
        <w:rPr>
          <w:rFonts w:ascii="Palatino Linotype" w:hAnsi="Palatino Linotype"/>
          <w:sz w:val="16"/>
          <w:szCs w:val="16"/>
        </w:rPr>
        <w:t xml:space="preserve"> Environmental Protection Agency, Summary of Mobile Combustion Emissions, </w:t>
      </w:r>
      <w:hyperlink r:id="rId23" w:history="1">
        <w:r w:rsidRPr="00F7229F">
          <w:rPr>
            <w:rStyle w:val="Hyperlink"/>
            <w:rFonts w:ascii="Palatino Linotype" w:hAnsi="Palatino Linotype"/>
            <w:sz w:val="16"/>
            <w:szCs w:val="16"/>
          </w:rPr>
          <w:t>https://www.epa.gov/statelocalenergy/download-state-inventory-and-projection-tool</w:t>
        </w:r>
      </w:hyperlink>
      <w:r w:rsidRPr="00F7229F">
        <w:rPr>
          <w:rFonts w:ascii="Palatino Linotype" w:hAnsi="Palatino Linotype"/>
          <w:sz w:val="16"/>
          <w:szCs w:val="16"/>
        </w:rPr>
        <w:t xml:space="preserve"> </w:t>
      </w:r>
    </w:p>
  </w:footnote>
  <w:footnote w:id="43">
    <w:p w14:paraId="37857F78" w14:textId="0B16FC7D" w:rsidR="00E024A1" w:rsidRPr="00F7229F" w:rsidRDefault="00E024A1" w:rsidP="008C62B7">
      <w:pPr>
        <w:pStyle w:val="FootnoteText"/>
        <w:rPr>
          <w:rFonts w:ascii="Palatino Linotype" w:hAnsi="Palatino Linotype"/>
          <w:sz w:val="16"/>
          <w:szCs w:val="16"/>
        </w:rPr>
      </w:pPr>
      <w:r w:rsidRPr="00F7229F">
        <w:rPr>
          <w:rStyle w:val="FootnoteReference"/>
          <w:rFonts w:ascii="Palatino Linotype" w:hAnsi="Palatino Linotype"/>
          <w:sz w:val="16"/>
          <w:szCs w:val="16"/>
        </w:rPr>
        <w:t>42</w:t>
      </w:r>
      <w:r w:rsidRPr="00F7229F">
        <w:rPr>
          <w:rFonts w:ascii="Palatino Linotype" w:hAnsi="Palatino Linotype"/>
          <w:sz w:val="16"/>
          <w:szCs w:val="16"/>
        </w:rPr>
        <w:t xml:space="preserve"> The latest version of the DICE 2017 model is available online at </w:t>
      </w:r>
      <w:hyperlink r:id="rId24" w:history="1">
        <w:r w:rsidRPr="00F7229F">
          <w:rPr>
            <w:rStyle w:val="Hyperlink"/>
            <w:rFonts w:ascii="Palatino Linotype" w:hAnsi="Palatino Linotype"/>
            <w:sz w:val="16"/>
            <w:szCs w:val="16"/>
          </w:rPr>
          <w:t>https://sites.google.com/site/williamdnordhaus/dice-rice</w:t>
        </w:r>
      </w:hyperlink>
      <w:r w:rsidRPr="00F7229F">
        <w:rPr>
          <w:rFonts w:ascii="Palatino Linotype" w:hAnsi="Palatino Linotype"/>
          <w:sz w:val="16"/>
          <w:szCs w:val="16"/>
        </w:rPr>
        <w:t>. We downloaded the model for the runs reported here on April 1, 2019.</w:t>
      </w:r>
    </w:p>
  </w:footnote>
  <w:footnote w:id="44">
    <w:p w14:paraId="630E3F00" w14:textId="5A6E3B1B" w:rsidR="00E024A1" w:rsidRPr="00F7229F" w:rsidRDefault="00E024A1" w:rsidP="008C62B7">
      <w:pPr>
        <w:pStyle w:val="FootnoteText"/>
        <w:rPr>
          <w:rFonts w:ascii="Palatino Linotype" w:hAnsi="Palatino Linotype"/>
          <w:sz w:val="16"/>
          <w:szCs w:val="16"/>
        </w:rPr>
      </w:pPr>
      <w:r w:rsidRPr="00F7229F">
        <w:rPr>
          <w:rStyle w:val="FootnoteReference"/>
          <w:rFonts w:ascii="Palatino Linotype" w:hAnsi="Palatino Linotype"/>
          <w:sz w:val="16"/>
          <w:szCs w:val="16"/>
        </w:rPr>
        <w:t>43</w:t>
      </w:r>
      <w:r w:rsidRPr="00F7229F">
        <w:rPr>
          <w:rFonts w:ascii="Palatino Linotype" w:hAnsi="Palatino Linotype"/>
          <w:sz w:val="16"/>
          <w:szCs w:val="16"/>
        </w:rPr>
        <w:t xml:space="preserve"> Nordhaus, William, </w:t>
      </w:r>
      <w:r w:rsidRPr="00F7229F">
        <w:rPr>
          <w:rFonts w:ascii="Palatino Linotype" w:hAnsi="Palatino Linotype"/>
          <w:i/>
          <w:sz w:val="16"/>
          <w:szCs w:val="16"/>
        </w:rPr>
        <w:t>A Question of Balance: Weighing the Options on Global Warming Policies</w:t>
      </w:r>
      <w:r w:rsidRPr="00F7229F">
        <w:rPr>
          <w:rFonts w:ascii="Palatino Linotype" w:hAnsi="Palatino Linotype"/>
          <w:sz w:val="16"/>
          <w:szCs w:val="16"/>
        </w:rPr>
        <w:t>, 1. ed., New Haven, CT: Yale University Press, May 2008.</w:t>
      </w:r>
    </w:p>
  </w:footnote>
  <w:footnote w:id="45">
    <w:p w14:paraId="77D8C892" w14:textId="0BA1C8E4" w:rsidR="00E024A1" w:rsidRPr="00F7229F" w:rsidRDefault="00E024A1" w:rsidP="009D4DDD">
      <w:pPr>
        <w:pStyle w:val="FootnoteText"/>
        <w:rPr>
          <w:rFonts w:ascii="Palatino Linotype" w:hAnsi="Palatino Linotype"/>
          <w:sz w:val="16"/>
          <w:szCs w:val="16"/>
        </w:rPr>
      </w:pPr>
      <w:r w:rsidRPr="00F7229F">
        <w:rPr>
          <w:rStyle w:val="FootnoteReference"/>
          <w:rFonts w:ascii="Palatino Linotype" w:hAnsi="Palatino Linotype"/>
          <w:sz w:val="16"/>
          <w:szCs w:val="16"/>
        </w:rPr>
        <w:t>44</w:t>
      </w:r>
      <w:r w:rsidRPr="00F7229F">
        <w:rPr>
          <w:rFonts w:ascii="Palatino Linotype" w:hAnsi="Palatino Linotype"/>
          <w:sz w:val="16"/>
          <w:szCs w:val="16"/>
        </w:rPr>
        <w:t xml:space="preserve"> For a description of the model see </w:t>
      </w:r>
      <w:hyperlink r:id="rId25" w:history="1">
        <w:r w:rsidRPr="00F7229F">
          <w:rPr>
            <w:rStyle w:val="Hyperlink"/>
            <w:rFonts w:ascii="Palatino Linotype" w:hAnsi="Palatino Linotype"/>
            <w:sz w:val="16"/>
            <w:szCs w:val="16"/>
          </w:rPr>
          <w:t>www.beaconhill.org/how</w:t>
        </w:r>
      </w:hyperlink>
      <w:r w:rsidRPr="00F7229F">
        <w:rPr>
          <w:rStyle w:val="Hyperlink"/>
          <w:rFonts w:ascii="Palatino Linotype" w:hAnsi="Palatino Linotype"/>
          <w:sz w:val="16"/>
          <w:szCs w:val="16"/>
        </w:rPr>
        <w:t>-stamp-works</w:t>
      </w:r>
      <w:r w:rsidRPr="00F7229F">
        <w:rPr>
          <w:rFonts w:ascii="Palatino Linotype" w:hAnsi="Palatino Linotype"/>
          <w:sz w:val="16"/>
          <w:szCs w:val="16"/>
        </w:rPr>
        <w:t xml:space="preserve">. </w:t>
      </w:r>
    </w:p>
  </w:footnote>
  <w:footnote w:id="46">
    <w:p w14:paraId="175C266F" w14:textId="3EF7F9B1" w:rsidR="00E024A1" w:rsidRPr="00F7229F" w:rsidRDefault="00E024A1" w:rsidP="00D63C81">
      <w:pPr>
        <w:pStyle w:val="FootnoteText"/>
        <w:rPr>
          <w:rFonts w:ascii="Palatino Linotype" w:hAnsi="Palatino Linotype"/>
          <w:sz w:val="16"/>
          <w:szCs w:val="16"/>
        </w:rPr>
      </w:pPr>
      <w:r w:rsidRPr="00F7229F">
        <w:rPr>
          <w:rStyle w:val="FootnoteReference"/>
          <w:rFonts w:ascii="Palatino Linotype" w:hAnsi="Palatino Linotype"/>
          <w:sz w:val="16"/>
          <w:szCs w:val="16"/>
        </w:rPr>
        <w:t xml:space="preserve">45 </w:t>
      </w:r>
      <w:r w:rsidRPr="00F7229F">
        <w:rPr>
          <w:rFonts w:ascii="Palatino Linotype" w:hAnsi="Palatino Linotype"/>
          <w:sz w:val="16"/>
          <w:szCs w:val="16"/>
        </w:rPr>
        <w:t xml:space="preserve"> J.G.J. Olivier, J.A.H.W. Peters, “Trends in Global CO2 and Total Greenhouse Gas Emissions: 2018 report,” Netherlands Environmental Assessment Agency, (May 12, 2018), </w:t>
      </w:r>
      <w:hyperlink r:id="rId26" w:history="1">
        <w:r w:rsidRPr="00F7229F">
          <w:rPr>
            <w:rStyle w:val="Hyperlink"/>
            <w:rFonts w:ascii="Palatino Linotype" w:hAnsi="Palatino Linotype"/>
            <w:sz w:val="16"/>
            <w:szCs w:val="16"/>
          </w:rPr>
          <w:t>https://www.pbl.nl/en/publications/trends-in-global-co2-and-total-greenhouse-gas-emissions-2018-report</w:t>
        </w:r>
      </w:hyperlink>
    </w:p>
  </w:footnote>
  <w:footnote w:id="47">
    <w:p w14:paraId="058AFDCA" w14:textId="1A45C097" w:rsidR="00E024A1" w:rsidRPr="00F7229F" w:rsidRDefault="00E024A1">
      <w:pPr>
        <w:pStyle w:val="FootnoteText"/>
        <w:rPr>
          <w:rFonts w:ascii="Palatino Linotype" w:hAnsi="Palatino Linotype"/>
          <w:sz w:val="16"/>
          <w:szCs w:val="16"/>
        </w:rPr>
      </w:pPr>
      <w:r w:rsidRPr="00F7229F">
        <w:rPr>
          <w:rStyle w:val="FootnoteReference"/>
          <w:rFonts w:ascii="Palatino Linotype" w:hAnsi="Palatino Linotype"/>
          <w:sz w:val="16"/>
          <w:szCs w:val="16"/>
        </w:rPr>
        <w:t>46</w:t>
      </w:r>
      <w:r w:rsidRPr="00F7229F">
        <w:rPr>
          <w:rFonts w:ascii="Palatino Linotype" w:hAnsi="Palatino Linotype"/>
          <w:sz w:val="16"/>
          <w:szCs w:val="16"/>
        </w:rPr>
        <w:t xml:space="preserve"> IPCC, 2013: Summary for Policymakers. In: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w:t>
      </w:r>
      <w:hyperlink r:id="rId27" w:history="1">
        <w:r w:rsidRPr="00F7229F">
          <w:rPr>
            <w:rStyle w:val="Hyperlink"/>
            <w:rFonts w:ascii="Palatino Linotype" w:hAnsi="Palatino Linotype"/>
            <w:sz w:val="16"/>
            <w:szCs w:val="16"/>
          </w:rPr>
          <w:t>https://www.ipcc.ch/site/assets/uploads/2018/02/WG1AR5_SPM_FINAL.pdf</w:t>
        </w:r>
      </w:hyperlink>
      <w:r w:rsidRPr="00F7229F">
        <w:rPr>
          <w:rFonts w:ascii="Palatino Linotype" w:hAnsi="Palatino Linotype"/>
          <w:sz w:val="16"/>
          <w:szCs w:val="16"/>
        </w:rPr>
        <w:t xml:space="preserve"> </w:t>
      </w:r>
    </w:p>
  </w:footnote>
  <w:footnote w:id="48">
    <w:p w14:paraId="0E3401D3" w14:textId="651827ED" w:rsidR="00E024A1" w:rsidRPr="00F7229F" w:rsidRDefault="00E024A1">
      <w:pPr>
        <w:pStyle w:val="FootnoteText"/>
        <w:rPr>
          <w:rFonts w:ascii="Palatino Linotype" w:hAnsi="Palatino Linotype"/>
          <w:sz w:val="16"/>
          <w:szCs w:val="16"/>
        </w:rPr>
      </w:pPr>
      <w:r w:rsidRPr="00F7229F">
        <w:rPr>
          <w:rStyle w:val="FootnoteReference"/>
          <w:rFonts w:ascii="Palatino Linotype" w:hAnsi="Palatino Linotype"/>
          <w:sz w:val="16"/>
          <w:szCs w:val="16"/>
        </w:rPr>
        <w:t>47</w:t>
      </w:r>
      <w:r w:rsidRPr="00F7229F">
        <w:rPr>
          <w:rFonts w:ascii="Palatino Linotype" w:hAnsi="Palatino Linotype"/>
          <w:sz w:val="16"/>
          <w:szCs w:val="16"/>
        </w:rPr>
        <w:t xml:space="preserve"> U.S. Department of Energy, Energy Information Administration, “Virginia  State Profile and Energy Estimates, More Data &amp; Analysis in Virginia  by Source,” (Accessed February 2020), </w:t>
      </w:r>
      <w:hyperlink r:id="rId28" w:anchor="?1=79&amp;2=200" w:history="1">
        <w:r w:rsidRPr="00F7229F">
          <w:rPr>
            <w:rStyle w:val="Hyperlink"/>
            <w:rFonts w:ascii="Palatino Linotype" w:hAnsi="Palatino Linotype"/>
            <w:sz w:val="16"/>
            <w:szCs w:val="16"/>
          </w:rPr>
          <w:t>https://www.eia.gov/state/search/#?1=79&amp;2=200</w:t>
        </w:r>
      </w:hyperlink>
      <w:r w:rsidRPr="00F7229F">
        <w:rPr>
          <w:rFonts w:ascii="Palatino Linotype" w:hAnsi="Palatino Linotype"/>
          <w:sz w:val="16"/>
          <w:szCs w:val="16"/>
        </w:rPr>
        <w:t xml:space="preserve">.    </w:t>
      </w:r>
    </w:p>
  </w:footnote>
  <w:footnote w:id="49">
    <w:p w14:paraId="45942073" w14:textId="44ACCAB4" w:rsidR="00E024A1" w:rsidRDefault="00E024A1">
      <w:pPr>
        <w:pStyle w:val="FootnoteText"/>
      </w:pPr>
      <w:r w:rsidRPr="00F7229F">
        <w:rPr>
          <w:rStyle w:val="FootnoteReference"/>
          <w:rFonts w:ascii="Palatino Linotype" w:hAnsi="Palatino Linotype"/>
          <w:sz w:val="16"/>
          <w:szCs w:val="16"/>
        </w:rPr>
        <w:t>48</w:t>
      </w:r>
      <w:r w:rsidRPr="00F7229F">
        <w:rPr>
          <w:rFonts w:ascii="Palatino Linotype" w:hAnsi="Palatino Linotype"/>
          <w:sz w:val="16"/>
          <w:szCs w:val="16"/>
        </w:rPr>
        <w:t xml:space="preserve"> Chicago Mercantile Exchange, </w:t>
      </w:r>
      <w:hyperlink r:id="rId29" w:history="1">
        <w:r w:rsidRPr="00F7229F">
          <w:rPr>
            <w:rStyle w:val="Hyperlink"/>
            <w:rFonts w:ascii="Palatino Linotype" w:hAnsi="Palatino Linotype"/>
            <w:sz w:val="16"/>
            <w:szCs w:val="16"/>
          </w:rPr>
          <w:t>https://www.cmegroup.com/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0FD7A" w14:textId="77777777" w:rsidR="00E024A1" w:rsidRDefault="00E024A1" w:rsidP="00C6301C">
    <w:pPr>
      <w:pStyle w:val="Header"/>
      <w:tabs>
        <w:tab w:val="clear" w:pos="4320"/>
        <w:tab w:val="clear" w:pos="8640"/>
        <w:tab w:val="center" w:pos="4680"/>
      </w:tabs>
      <w:rPr>
        <w:rFonts w:cs="Arial"/>
      </w:rPr>
    </w:pPr>
    <w:r>
      <w:rPr>
        <w:noProof/>
      </w:rPr>
      <mc:AlternateContent>
        <mc:Choice Requires="wps">
          <w:drawing>
            <wp:anchor distT="0" distB="0" distL="114300" distR="114300" simplePos="0" relativeHeight="251658240" behindDoc="0" locked="0" layoutInCell="1" allowOverlap="1" wp14:anchorId="52023AC8" wp14:editId="3A95DB21">
              <wp:simplePos x="0" y="0"/>
              <wp:positionH relativeFrom="page">
                <wp:posOffset>571500</wp:posOffset>
              </wp:positionH>
              <wp:positionV relativeFrom="page">
                <wp:posOffset>457200</wp:posOffset>
              </wp:positionV>
              <wp:extent cx="2590800" cy="292100"/>
              <wp:effectExtent l="0" t="0" r="0" b="3175"/>
              <wp:wrapNone/>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8726E" w14:textId="77777777" w:rsidR="00E024A1" w:rsidRDefault="00E024A1" w:rsidP="00C6301C">
                          <w:pPr>
                            <w:pStyle w:val="RunningHead"/>
                            <w:rPr>
                              <w:rFonts w:ascii="Times New Roman" w:hAnsi="Times New Roman"/>
                              <w:b/>
                              <w:bCs/>
                              <w:i/>
                              <w:iCs/>
                              <w:sz w:val="24"/>
                              <w:szCs w:val="24"/>
                            </w:rPr>
                          </w:pPr>
                          <w:r>
                            <w:rPr>
                              <w:rFonts w:ascii="Times New Roman" w:hAnsi="Times New Roman"/>
                              <w:b/>
                              <w:bCs/>
                              <w:i/>
                              <w:iCs/>
                              <w:sz w:val="24"/>
                              <w:szCs w:val="24"/>
                            </w:rPr>
                            <w:t xml:space="preserve">BHI Analysis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2023AC8" id="_x0000_t202" coordsize="21600,21600" o:spt="202" path="m,l,21600r21600,l21600,xe">
              <v:stroke joinstyle="miter"/>
              <v:path gradientshapeok="t" o:connecttype="rect"/>
            </v:shapetype>
            <v:shape id="Text Box 1" o:spid="_x0000_s1027" type="#_x0000_t202" style="position:absolute;margin-left:45pt;margin-top:36pt;width:204pt;height:2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" filled="f" stroked="f">
              <v:textbox inset="0,0,0,0">
                <w:txbxContent>
                  <w:p w14:paraId="7328726E" w14:textId="77777777" w:rsidR="00E024A1" w:rsidRDefault="00E024A1" w:rsidP="00C6301C">
                    <w:pPr>
                      <w:pStyle w:val="RunningHead"/>
                      <w:rPr>
                        <w:rFonts w:ascii="Times New Roman" w:hAnsi="Times New Roman"/>
                        <w:b/>
                        <w:bCs/>
                        <w:i/>
                        <w:iCs/>
                        <w:sz w:val="24"/>
                        <w:szCs w:val="24"/>
                      </w:rPr>
                    </w:pPr>
                    <w:r>
                      <w:rPr>
                        <w:rFonts w:ascii="Times New Roman" w:hAnsi="Times New Roman"/>
                        <w:b/>
                        <w:bCs/>
                        <w:i/>
                        <w:iCs/>
                        <w:sz w:val="24"/>
                        <w:szCs w:val="24"/>
                      </w:rPr>
                      <w:t xml:space="preserve">BHI Analysis </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22045DFA" wp14:editId="1C960342">
              <wp:simplePos x="0" y="0"/>
              <wp:positionH relativeFrom="page">
                <wp:posOffset>457200</wp:posOffset>
              </wp:positionH>
              <wp:positionV relativeFrom="page">
                <wp:posOffset>457200</wp:posOffset>
              </wp:positionV>
              <wp:extent cx="6972300" cy="228600"/>
              <wp:effectExtent l="0" t="0" r="0" b="0"/>
              <wp:wrapNone/>
              <wp:docPr id="20" name="REC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28600"/>
                      </a:xfrm>
                      <a:prstGeom prst="rect">
                        <a:avLst/>
                      </a:prstGeom>
                      <a:solidFill>
                        <a:srgbClr val="800000"/>
                      </a:solidFill>
                      <a:ln>
                        <a:noFill/>
                      </a:ln>
                      <a:extLst>
                        <a:ext uri="{91240B29-F687-4F45-9708-019B960494DF}">
                          <a14:hiddenLine xmlns:a14="http://schemas.microsoft.com/office/drawing/2010/main">
                            <a:solidFill>
                              <a:srgbClr val="666633"/>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6DC057F4" id="REC 14" o:spid="_x0000_s1026" style="position:absolute;margin-left:36pt;margin-top:36pt;width:549pt;height:18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" fillcolor="maroon" stroked="f" strokecolor="#663">
              <w10:wrap anchorx="page" anchory="page"/>
            </v:rect>
          </w:pict>
        </mc:Fallback>
      </mc:AlternateContent>
    </w:r>
  </w:p>
  <w:p w14:paraId="00B915F4" w14:textId="77777777" w:rsidR="00E024A1" w:rsidRDefault="00E02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E2553" w14:textId="77777777" w:rsidR="00E024A1" w:rsidRDefault="00E024A1" w:rsidP="00950F68">
    <w:pPr>
      <w:pStyle w:val="Header"/>
      <w:tabs>
        <w:tab w:val="clear" w:pos="4320"/>
        <w:tab w:val="clear" w:pos="8640"/>
        <w:tab w:val="center" w:pos="4680"/>
      </w:tabs>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4DB85" w14:textId="77777777" w:rsidR="00E024A1" w:rsidRDefault="00E024A1" w:rsidP="00C6301C">
    <w:pPr>
      <w:pStyle w:val="Header"/>
      <w:tabs>
        <w:tab w:val="clear" w:pos="4320"/>
        <w:tab w:val="clear" w:pos="8640"/>
        <w:tab w:val="center" w:pos="4680"/>
      </w:tabs>
      <w:rPr>
        <w:rFonts w:cs="Arial"/>
      </w:rPr>
    </w:pPr>
    <w:r>
      <w:rPr>
        <w:noProof/>
      </w:rPr>
      <mc:AlternateContent>
        <mc:Choice Requires="wps">
          <w:drawing>
            <wp:anchor distT="0" distB="0" distL="114300" distR="114300" simplePos="0" relativeHeight="251658244" behindDoc="0" locked="0" layoutInCell="1" allowOverlap="1" wp14:anchorId="4207C0BC" wp14:editId="3E79CA42">
              <wp:simplePos x="0" y="0"/>
              <wp:positionH relativeFrom="page">
                <wp:posOffset>571500</wp:posOffset>
              </wp:positionH>
              <wp:positionV relativeFrom="page">
                <wp:posOffset>457200</wp:posOffset>
              </wp:positionV>
              <wp:extent cx="2590800" cy="292100"/>
              <wp:effectExtent l="0" t="0" r="0" b="3175"/>
              <wp:wrapNone/>
              <wp:docPr id="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E4559" w14:textId="77777777" w:rsidR="00E024A1" w:rsidRDefault="00E024A1" w:rsidP="00C6301C">
                          <w:pPr>
                            <w:pStyle w:val="RunningHead"/>
                            <w:rPr>
                              <w:rFonts w:ascii="Times New Roman" w:hAnsi="Times New Roman"/>
                              <w:b/>
                              <w:bCs/>
                              <w:i/>
                              <w:iCs/>
                              <w:sz w:val="24"/>
                              <w:szCs w:val="24"/>
                            </w:rPr>
                          </w:pPr>
                          <w:r>
                            <w:rPr>
                              <w:rFonts w:ascii="Times New Roman" w:hAnsi="Times New Roman"/>
                              <w:b/>
                              <w:bCs/>
                              <w:i/>
                              <w:iCs/>
                              <w:sz w:val="24"/>
                              <w:szCs w:val="24"/>
                            </w:rPr>
                            <w:t xml:space="preserve">BHI Analysis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4207C0BC" id="_x0000_t202" coordsize="21600,21600" o:spt="202" path="m,l,21600r21600,l21600,xe">
              <v:stroke joinstyle="miter"/>
              <v:path gradientshapeok="t" o:connecttype="rect"/>
            </v:shapetype>
            <v:shape id="_x0000_s1028" type="#_x0000_t202" style="position:absolute;margin-left:45pt;margin-top:36pt;width:204pt;height:23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" filled="f" stroked="f">
              <v:textbox inset="0,0,0,0">
                <w:txbxContent>
                  <w:p w14:paraId="348E4559" w14:textId="77777777" w:rsidR="00E024A1" w:rsidRDefault="00E024A1" w:rsidP="00C6301C">
                    <w:pPr>
                      <w:pStyle w:val="RunningHead"/>
                      <w:rPr>
                        <w:rFonts w:ascii="Times New Roman" w:hAnsi="Times New Roman"/>
                        <w:b/>
                        <w:bCs/>
                        <w:i/>
                        <w:iCs/>
                        <w:sz w:val="24"/>
                        <w:szCs w:val="24"/>
                      </w:rPr>
                    </w:pPr>
                    <w:r>
                      <w:rPr>
                        <w:rFonts w:ascii="Times New Roman" w:hAnsi="Times New Roman"/>
                        <w:b/>
                        <w:bCs/>
                        <w:i/>
                        <w:iCs/>
                        <w:sz w:val="24"/>
                        <w:szCs w:val="24"/>
                      </w:rPr>
                      <w:t xml:space="preserve">BHI Analysis </w:t>
                    </w:r>
                  </w:p>
                </w:txbxContent>
              </v:textbox>
              <w10:wrap anchorx="page" anchory="page"/>
            </v:shape>
          </w:pict>
        </mc:Fallback>
      </mc:AlternateContent>
    </w:r>
    <w:r>
      <w:rPr>
        <w:noProof/>
      </w:rPr>
      <mc:AlternateContent>
        <mc:Choice Requires="wps">
          <w:drawing>
            <wp:anchor distT="0" distB="0" distL="114300" distR="114300" simplePos="0" relativeHeight="251658245" behindDoc="1" locked="0" layoutInCell="1" allowOverlap="1" wp14:anchorId="61511746" wp14:editId="7EF6B556">
              <wp:simplePos x="0" y="0"/>
              <wp:positionH relativeFrom="page">
                <wp:posOffset>457200</wp:posOffset>
              </wp:positionH>
              <wp:positionV relativeFrom="page">
                <wp:posOffset>457200</wp:posOffset>
              </wp:positionV>
              <wp:extent cx="6972300" cy="228600"/>
              <wp:effectExtent l="0" t="0" r="0" b="0"/>
              <wp:wrapNone/>
              <wp:docPr id="28" name="REC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28600"/>
                      </a:xfrm>
                      <a:prstGeom prst="rect">
                        <a:avLst/>
                      </a:prstGeom>
                      <a:solidFill>
                        <a:srgbClr val="800000"/>
                      </a:solidFill>
                      <a:ln>
                        <a:noFill/>
                      </a:ln>
                      <a:extLst>
                        <a:ext uri="{91240B29-F687-4F45-9708-019B960494DF}">
                          <a14:hiddenLine xmlns:a14="http://schemas.microsoft.com/office/drawing/2010/main">
                            <a:solidFill>
                              <a:srgbClr val="666633"/>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17BE12D2" id="REC 14" o:spid="_x0000_s1026" style="position:absolute;margin-left:36pt;margin-top:36pt;width:549pt;height:18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" fillcolor="maroon" stroked="f" strokecolor="#663">
              <w10:wrap anchorx="page" anchory="page"/>
            </v:rect>
          </w:pict>
        </mc:Fallback>
      </mc:AlternateContent>
    </w:r>
  </w:p>
  <w:p w14:paraId="0D5651C4" w14:textId="77777777" w:rsidR="00E024A1" w:rsidRDefault="00E024A1">
    <w:pPr>
      <w:pStyle w:val="Header"/>
      <w:tabs>
        <w:tab w:val="clear" w:pos="8640"/>
        <w:tab w:val="right" w:pos="9900"/>
      </w:tabs>
    </w:pPr>
  </w:p>
  <w:p w14:paraId="438B7484" w14:textId="77777777" w:rsidR="00E024A1" w:rsidRDefault="00E024A1"/>
  <w:p w14:paraId="5801BB27" w14:textId="77777777" w:rsidR="00E024A1" w:rsidRDefault="00E024A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5FBCA" w14:textId="66065BDB" w:rsidR="00E024A1" w:rsidRDefault="008B6F66" w:rsidP="00C6301C">
    <w:pPr>
      <w:pStyle w:val="Header"/>
      <w:tabs>
        <w:tab w:val="clear" w:pos="4320"/>
        <w:tab w:val="clear" w:pos="8640"/>
        <w:tab w:val="center" w:pos="4680"/>
      </w:tabs>
      <w:rPr>
        <w:rFonts w:cs="Arial"/>
      </w:rPr>
    </w:pPr>
    <w:r>
      <w:rPr>
        <w:noProof/>
      </w:rPr>
      <mc:AlternateContent>
        <mc:Choice Requires="wps">
          <w:drawing>
            <wp:anchor distT="0" distB="0" distL="114300" distR="114300" simplePos="0" relativeHeight="251658242" behindDoc="0" locked="0" layoutInCell="1" allowOverlap="1" wp14:anchorId="5997AD6F" wp14:editId="108B23E1">
              <wp:simplePos x="0" y="0"/>
              <wp:positionH relativeFrom="page">
                <wp:posOffset>571500</wp:posOffset>
              </wp:positionH>
              <wp:positionV relativeFrom="page">
                <wp:posOffset>457200</wp:posOffset>
              </wp:positionV>
              <wp:extent cx="4254500" cy="292100"/>
              <wp:effectExtent l="0" t="0" r="12700" b="12700"/>
              <wp:wrapNone/>
              <wp:docPr id="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72E6B" w14:textId="6D75B589" w:rsidR="00E024A1" w:rsidRDefault="00E024A1" w:rsidP="00C6301C">
                          <w:pPr>
                            <w:pStyle w:val="RunningHead"/>
                            <w:rPr>
                              <w:rFonts w:ascii="Times New Roman" w:hAnsi="Times New Roman"/>
                              <w:b/>
                              <w:bCs/>
                              <w:i/>
                              <w:iCs/>
                              <w:sz w:val="24"/>
                              <w:szCs w:val="24"/>
                            </w:rPr>
                          </w:pPr>
                          <w:r>
                            <w:rPr>
                              <w:rFonts w:ascii="Times New Roman" w:hAnsi="Times New Roman"/>
                              <w:b/>
                              <w:bCs/>
                              <w:i/>
                              <w:iCs/>
                              <w:sz w:val="24"/>
                              <w:szCs w:val="24"/>
                            </w:rPr>
                            <w:t xml:space="preserve">BHI Analysis </w:t>
                          </w:r>
                          <w:r w:rsidR="008B6F66">
                            <w:rPr>
                              <w:rFonts w:ascii="Times New Roman" w:hAnsi="Times New Roman"/>
                              <w:b/>
                              <w:bCs/>
                              <w:i/>
                              <w:iCs/>
                              <w:sz w:val="24"/>
                              <w:szCs w:val="24"/>
                            </w:rPr>
                            <w:t>for The Thomas Jefferson Institute for Public Policy</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997AD6F" id="_x0000_t202" coordsize="21600,21600" o:spt="202" path="m,l,21600r21600,l21600,xe">
              <v:stroke joinstyle="miter"/>
              <v:path gradientshapeok="t" o:connecttype="rect"/>
            </v:shapetype>
            <v:shape id="_x0000_s1029" type="#_x0000_t202" style="position:absolute;margin-left:45pt;margin-top:36pt;width:335pt;height:23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" filled="f" stroked="f">
              <v:textbox inset="0,0,0,0">
                <w:txbxContent>
                  <w:p w14:paraId="2C072E6B" w14:textId="6D75B589" w:rsidR="00E024A1" w:rsidRDefault="00E024A1" w:rsidP="00C6301C">
                    <w:pPr>
                      <w:pStyle w:val="RunningHead"/>
                      <w:rPr>
                        <w:rFonts w:ascii="Times New Roman" w:hAnsi="Times New Roman"/>
                        <w:b/>
                        <w:bCs/>
                        <w:i/>
                        <w:iCs/>
                        <w:sz w:val="24"/>
                        <w:szCs w:val="24"/>
                      </w:rPr>
                    </w:pPr>
                    <w:r>
                      <w:rPr>
                        <w:rFonts w:ascii="Times New Roman" w:hAnsi="Times New Roman"/>
                        <w:b/>
                        <w:bCs/>
                        <w:i/>
                        <w:iCs/>
                        <w:sz w:val="24"/>
                        <w:szCs w:val="24"/>
                      </w:rPr>
                      <w:t xml:space="preserve">BHI Analysis </w:t>
                    </w:r>
                    <w:r w:rsidR="008B6F66">
                      <w:rPr>
                        <w:rFonts w:ascii="Times New Roman" w:hAnsi="Times New Roman"/>
                        <w:b/>
                        <w:bCs/>
                        <w:i/>
                        <w:iCs/>
                        <w:sz w:val="24"/>
                        <w:szCs w:val="24"/>
                      </w:rPr>
                      <w:t>for The Thomas Jefferson Institute for Public Policy</w:t>
                    </w:r>
                  </w:p>
                </w:txbxContent>
              </v:textbox>
              <w10:wrap anchorx="page" anchory="page"/>
            </v:shape>
          </w:pict>
        </mc:Fallback>
      </mc:AlternateContent>
    </w:r>
  </w:p>
  <w:p w14:paraId="26B933C6" w14:textId="34777669" w:rsidR="00E024A1" w:rsidRDefault="00E024A1" w:rsidP="00C6301C">
    <w:pPr>
      <w:pStyle w:val="Header"/>
      <w:tabs>
        <w:tab w:val="clear" w:pos="4320"/>
        <w:tab w:val="clear" w:pos="8640"/>
        <w:tab w:val="center" w:pos="4680"/>
      </w:tabs>
      <w:rPr>
        <w:rFonts w:cs="Arial"/>
      </w:rPr>
    </w:pPr>
    <w:r>
      <w:rPr>
        <w:noProof/>
      </w:rPr>
      <mc:AlternateContent>
        <mc:Choice Requires="wps">
          <w:drawing>
            <wp:anchor distT="0" distB="0" distL="114300" distR="114300" simplePos="0" relativeHeight="251658243" behindDoc="1" locked="0" layoutInCell="1" allowOverlap="1" wp14:anchorId="3E5F5722" wp14:editId="6A9E840C">
              <wp:simplePos x="0" y="0"/>
              <wp:positionH relativeFrom="page">
                <wp:posOffset>457200</wp:posOffset>
              </wp:positionH>
              <wp:positionV relativeFrom="page">
                <wp:posOffset>457200</wp:posOffset>
              </wp:positionV>
              <wp:extent cx="6972300" cy="228600"/>
              <wp:effectExtent l="0" t="0" r="0" b="0"/>
              <wp:wrapNone/>
              <wp:docPr id="26" name="REC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28600"/>
                      </a:xfrm>
                      <a:prstGeom prst="rect">
                        <a:avLst/>
                      </a:prstGeom>
                      <a:solidFill>
                        <a:srgbClr val="800000"/>
                      </a:solidFill>
                      <a:ln>
                        <a:noFill/>
                      </a:ln>
                      <a:extLst>
                        <a:ext uri="{91240B29-F687-4F45-9708-019B960494DF}">
                          <a14:hiddenLine xmlns:a14="http://schemas.microsoft.com/office/drawing/2010/main">
                            <a:solidFill>
                              <a:srgbClr val="666633"/>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4C6A09E6" id="REC 14" o:spid="_x0000_s1026" style="position:absolute;margin-left:36pt;margin-top:36pt;width:549pt;height:18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" fillcolor="maroon" stroked="f" strokecolor="#663">
              <w10:wrap anchorx="page" anchory="page"/>
            </v:rect>
          </w:pict>
        </mc:Fallback>
      </mc:AlternateContent>
    </w:r>
  </w:p>
  <w:p w14:paraId="2A040008" w14:textId="77777777" w:rsidR="00E024A1" w:rsidRPr="003C0E51" w:rsidRDefault="00E024A1">
    <w:pPr>
      <w:pStyle w:val="Header"/>
      <w:rPr>
        <w:rFonts w:ascii="Palatino Linotype" w:hAnsi="Palatino Linotype"/>
        <w:b/>
        <w:i/>
        <w:color w:val="FFFFFF" w:themeColor="background1"/>
        <w:sz w:val="24"/>
        <w:szCs w:val="24"/>
      </w:rPr>
    </w:pPr>
    <w:r>
      <w:rPr>
        <w:rFonts w:ascii="Palatino Linotype" w:hAnsi="Palatino Linotype"/>
        <w:b/>
        <w:i/>
        <w:color w:val="FFFFFF" w:themeColor="background1"/>
        <w:sz w:val="24"/>
        <w:szCs w:val="24"/>
      </w:rPr>
      <w:t>BHI</w:t>
    </w:r>
  </w:p>
  <w:p w14:paraId="76820938" w14:textId="77777777" w:rsidR="00E024A1" w:rsidRDefault="00E024A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B0D9C" w14:textId="77777777" w:rsidR="00E024A1" w:rsidRDefault="00E02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2304530"/>
    <w:lvl w:ilvl="0">
      <w:start w:val="4"/>
      <w:numFmt w:val="decimal"/>
      <w:lvlText w:val="%1"/>
      <w:lvlJc w:val="left"/>
      <w:pPr>
        <w:ind w:hanging="111"/>
      </w:pPr>
      <w:rPr>
        <w:rFonts w:ascii="Palatino Linotype" w:hAnsi="Palatino Linotype" w:cs="Palatino Linotype"/>
        <w:b w:val="0"/>
        <w:bCs w:val="0"/>
        <w:position w:val="5"/>
        <w:sz w:val="12"/>
        <w:szCs w:val="12"/>
      </w:rPr>
    </w:lvl>
    <w:lvl w:ilvl="1">
      <w:start w:val="1"/>
      <w:numFmt w:val="decimal"/>
      <w:lvlText w:val="%2."/>
      <w:lvlJc w:val="left"/>
      <w:pPr>
        <w:ind w:hanging="360"/>
      </w:pPr>
      <w:rPr>
        <w:b w:val="0"/>
        <w:w w:val="131"/>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5E432C"/>
    <w:multiLevelType w:val="hybridMultilevel"/>
    <w:tmpl w:val="D4AC6584"/>
    <w:lvl w:ilvl="0" w:tplc="632638E2">
      <w:start w:val="1"/>
      <w:numFmt w:val="bullet"/>
      <w:lvlText w:val=""/>
      <w:lvlJc w:val="left"/>
      <w:pPr>
        <w:ind w:left="867" w:hanging="360"/>
      </w:pPr>
      <w:rPr>
        <w:rFonts w:ascii="Symbol" w:hAnsi="Symbol" w:hint="default"/>
      </w:rPr>
    </w:lvl>
    <w:lvl w:ilvl="1" w:tplc="C80E448E">
      <w:start w:val="1"/>
      <w:numFmt w:val="bullet"/>
      <w:lvlText w:val="o"/>
      <w:lvlJc w:val="left"/>
      <w:pPr>
        <w:ind w:left="1587" w:hanging="360"/>
      </w:pPr>
      <w:rPr>
        <w:rFonts w:ascii="Courier New" w:hAnsi="Courier New" w:cs="Courier New" w:hint="default"/>
      </w:rPr>
    </w:lvl>
    <w:lvl w:ilvl="2" w:tplc="68F4F560" w:tentative="1">
      <w:start w:val="1"/>
      <w:numFmt w:val="bullet"/>
      <w:lvlText w:val=""/>
      <w:lvlJc w:val="left"/>
      <w:pPr>
        <w:ind w:left="2307" w:hanging="360"/>
      </w:pPr>
      <w:rPr>
        <w:rFonts w:ascii="Wingdings" w:hAnsi="Wingdings" w:hint="default"/>
      </w:rPr>
    </w:lvl>
    <w:lvl w:ilvl="3" w:tplc="1F52E662" w:tentative="1">
      <w:start w:val="1"/>
      <w:numFmt w:val="bullet"/>
      <w:lvlText w:val=""/>
      <w:lvlJc w:val="left"/>
      <w:pPr>
        <w:ind w:left="3027" w:hanging="360"/>
      </w:pPr>
      <w:rPr>
        <w:rFonts w:ascii="Symbol" w:hAnsi="Symbol" w:hint="default"/>
      </w:rPr>
    </w:lvl>
    <w:lvl w:ilvl="4" w:tplc="DF34508A" w:tentative="1">
      <w:start w:val="1"/>
      <w:numFmt w:val="bullet"/>
      <w:lvlText w:val="o"/>
      <w:lvlJc w:val="left"/>
      <w:pPr>
        <w:ind w:left="3747" w:hanging="360"/>
      </w:pPr>
      <w:rPr>
        <w:rFonts w:ascii="Courier New" w:hAnsi="Courier New" w:cs="Courier New" w:hint="default"/>
      </w:rPr>
    </w:lvl>
    <w:lvl w:ilvl="5" w:tplc="3336F2F6" w:tentative="1">
      <w:start w:val="1"/>
      <w:numFmt w:val="bullet"/>
      <w:lvlText w:val=""/>
      <w:lvlJc w:val="left"/>
      <w:pPr>
        <w:ind w:left="4467" w:hanging="360"/>
      </w:pPr>
      <w:rPr>
        <w:rFonts w:ascii="Wingdings" w:hAnsi="Wingdings" w:hint="default"/>
      </w:rPr>
    </w:lvl>
    <w:lvl w:ilvl="6" w:tplc="7EAC0F92" w:tentative="1">
      <w:start w:val="1"/>
      <w:numFmt w:val="bullet"/>
      <w:lvlText w:val=""/>
      <w:lvlJc w:val="left"/>
      <w:pPr>
        <w:ind w:left="5187" w:hanging="360"/>
      </w:pPr>
      <w:rPr>
        <w:rFonts w:ascii="Symbol" w:hAnsi="Symbol" w:hint="default"/>
      </w:rPr>
    </w:lvl>
    <w:lvl w:ilvl="7" w:tplc="93686850" w:tentative="1">
      <w:start w:val="1"/>
      <w:numFmt w:val="bullet"/>
      <w:lvlText w:val="o"/>
      <w:lvlJc w:val="left"/>
      <w:pPr>
        <w:ind w:left="5907" w:hanging="360"/>
      </w:pPr>
      <w:rPr>
        <w:rFonts w:ascii="Courier New" w:hAnsi="Courier New" w:cs="Courier New" w:hint="default"/>
      </w:rPr>
    </w:lvl>
    <w:lvl w:ilvl="8" w:tplc="5B7AA95C" w:tentative="1">
      <w:start w:val="1"/>
      <w:numFmt w:val="bullet"/>
      <w:lvlText w:val=""/>
      <w:lvlJc w:val="left"/>
      <w:pPr>
        <w:ind w:left="6627" w:hanging="360"/>
      </w:pPr>
      <w:rPr>
        <w:rFonts w:ascii="Wingdings" w:hAnsi="Wingdings" w:hint="default"/>
      </w:rPr>
    </w:lvl>
  </w:abstractNum>
  <w:abstractNum w:abstractNumId="2" w15:restartNumberingAfterBreak="0">
    <w:nsid w:val="021E72A0"/>
    <w:multiLevelType w:val="multilevel"/>
    <w:tmpl w:val="44B0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C25EC6"/>
    <w:multiLevelType w:val="hybridMultilevel"/>
    <w:tmpl w:val="19CC2730"/>
    <w:lvl w:ilvl="0" w:tplc="59F0B392">
      <w:start w:val="1"/>
      <w:numFmt w:val="bullet"/>
      <w:lvlText w:val=""/>
      <w:lvlJc w:val="left"/>
      <w:pPr>
        <w:ind w:left="1356" w:hanging="360"/>
      </w:pPr>
      <w:rPr>
        <w:rFonts w:ascii="Symbol" w:hAnsi="Symbol" w:hint="default"/>
      </w:rPr>
    </w:lvl>
    <w:lvl w:ilvl="1" w:tplc="5F467EF6" w:tentative="1">
      <w:start w:val="1"/>
      <w:numFmt w:val="bullet"/>
      <w:lvlText w:val="o"/>
      <w:lvlJc w:val="left"/>
      <w:pPr>
        <w:ind w:left="2076" w:hanging="360"/>
      </w:pPr>
      <w:rPr>
        <w:rFonts w:ascii="Courier New" w:hAnsi="Courier New" w:cs="Courier New" w:hint="default"/>
      </w:rPr>
    </w:lvl>
    <w:lvl w:ilvl="2" w:tplc="1B7CC45A" w:tentative="1">
      <w:start w:val="1"/>
      <w:numFmt w:val="bullet"/>
      <w:lvlText w:val=""/>
      <w:lvlJc w:val="left"/>
      <w:pPr>
        <w:ind w:left="2796" w:hanging="360"/>
      </w:pPr>
      <w:rPr>
        <w:rFonts w:ascii="Wingdings" w:hAnsi="Wingdings" w:hint="default"/>
      </w:rPr>
    </w:lvl>
    <w:lvl w:ilvl="3" w:tplc="46EC2818" w:tentative="1">
      <w:start w:val="1"/>
      <w:numFmt w:val="bullet"/>
      <w:lvlText w:val=""/>
      <w:lvlJc w:val="left"/>
      <w:pPr>
        <w:ind w:left="3516" w:hanging="360"/>
      </w:pPr>
      <w:rPr>
        <w:rFonts w:ascii="Symbol" w:hAnsi="Symbol" w:hint="default"/>
      </w:rPr>
    </w:lvl>
    <w:lvl w:ilvl="4" w:tplc="ABA68C22" w:tentative="1">
      <w:start w:val="1"/>
      <w:numFmt w:val="bullet"/>
      <w:lvlText w:val="o"/>
      <w:lvlJc w:val="left"/>
      <w:pPr>
        <w:ind w:left="4236" w:hanging="360"/>
      </w:pPr>
      <w:rPr>
        <w:rFonts w:ascii="Courier New" w:hAnsi="Courier New" w:cs="Courier New" w:hint="default"/>
      </w:rPr>
    </w:lvl>
    <w:lvl w:ilvl="5" w:tplc="55029DDC" w:tentative="1">
      <w:start w:val="1"/>
      <w:numFmt w:val="bullet"/>
      <w:lvlText w:val=""/>
      <w:lvlJc w:val="left"/>
      <w:pPr>
        <w:ind w:left="4956" w:hanging="360"/>
      </w:pPr>
      <w:rPr>
        <w:rFonts w:ascii="Wingdings" w:hAnsi="Wingdings" w:hint="default"/>
      </w:rPr>
    </w:lvl>
    <w:lvl w:ilvl="6" w:tplc="9B963B9E" w:tentative="1">
      <w:start w:val="1"/>
      <w:numFmt w:val="bullet"/>
      <w:lvlText w:val=""/>
      <w:lvlJc w:val="left"/>
      <w:pPr>
        <w:ind w:left="5676" w:hanging="360"/>
      </w:pPr>
      <w:rPr>
        <w:rFonts w:ascii="Symbol" w:hAnsi="Symbol" w:hint="default"/>
      </w:rPr>
    </w:lvl>
    <w:lvl w:ilvl="7" w:tplc="78EC6952" w:tentative="1">
      <w:start w:val="1"/>
      <w:numFmt w:val="bullet"/>
      <w:lvlText w:val="o"/>
      <w:lvlJc w:val="left"/>
      <w:pPr>
        <w:ind w:left="6396" w:hanging="360"/>
      </w:pPr>
      <w:rPr>
        <w:rFonts w:ascii="Courier New" w:hAnsi="Courier New" w:cs="Courier New" w:hint="default"/>
      </w:rPr>
    </w:lvl>
    <w:lvl w:ilvl="8" w:tplc="E116A2DC" w:tentative="1">
      <w:start w:val="1"/>
      <w:numFmt w:val="bullet"/>
      <w:lvlText w:val=""/>
      <w:lvlJc w:val="left"/>
      <w:pPr>
        <w:ind w:left="7116" w:hanging="360"/>
      </w:pPr>
      <w:rPr>
        <w:rFonts w:ascii="Wingdings" w:hAnsi="Wingdings" w:hint="default"/>
      </w:rPr>
    </w:lvl>
  </w:abstractNum>
  <w:abstractNum w:abstractNumId="4" w15:restartNumberingAfterBreak="0">
    <w:nsid w:val="05F07828"/>
    <w:multiLevelType w:val="hybridMultilevel"/>
    <w:tmpl w:val="EE06F7B0"/>
    <w:lvl w:ilvl="0" w:tplc="F1226E38">
      <w:start w:val="1"/>
      <w:numFmt w:val="decimal"/>
      <w:lvlText w:val="%1."/>
      <w:lvlJc w:val="left"/>
      <w:pPr>
        <w:ind w:left="720" w:hanging="360"/>
      </w:pPr>
    </w:lvl>
    <w:lvl w:ilvl="1" w:tplc="FA32FE00">
      <w:start w:val="1"/>
      <w:numFmt w:val="lowerLetter"/>
      <w:lvlText w:val="%2."/>
      <w:lvlJc w:val="left"/>
      <w:pPr>
        <w:ind w:left="1440" w:hanging="360"/>
      </w:pPr>
    </w:lvl>
    <w:lvl w:ilvl="2" w:tplc="09C64956">
      <w:start w:val="1"/>
      <w:numFmt w:val="lowerRoman"/>
      <w:lvlText w:val="%3."/>
      <w:lvlJc w:val="right"/>
      <w:pPr>
        <w:ind w:left="2160" w:hanging="180"/>
      </w:pPr>
    </w:lvl>
    <w:lvl w:ilvl="3" w:tplc="F5F8EAFC" w:tentative="1">
      <w:start w:val="1"/>
      <w:numFmt w:val="decimal"/>
      <w:lvlText w:val="%4."/>
      <w:lvlJc w:val="left"/>
      <w:pPr>
        <w:ind w:left="2880" w:hanging="360"/>
      </w:pPr>
    </w:lvl>
    <w:lvl w:ilvl="4" w:tplc="651C482C" w:tentative="1">
      <w:start w:val="1"/>
      <w:numFmt w:val="lowerLetter"/>
      <w:lvlText w:val="%5."/>
      <w:lvlJc w:val="left"/>
      <w:pPr>
        <w:ind w:left="3600" w:hanging="360"/>
      </w:pPr>
    </w:lvl>
    <w:lvl w:ilvl="5" w:tplc="23EA0C12" w:tentative="1">
      <w:start w:val="1"/>
      <w:numFmt w:val="lowerRoman"/>
      <w:lvlText w:val="%6."/>
      <w:lvlJc w:val="right"/>
      <w:pPr>
        <w:ind w:left="4320" w:hanging="180"/>
      </w:pPr>
    </w:lvl>
    <w:lvl w:ilvl="6" w:tplc="90383BB0" w:tentative="1">
      <w:start w:val="1"/>
      <w:numFmt w:val="decimal"/>
      <w:lvlText w:val="%7."/>
      <w:lvlJc w:val="left"/>
      <w:pPr>
        <w:ind w:left="5040" w:hanging="360"/>
      </w:pPr>
    </w:lvl>
    <w:lvl w:ilvl="7" w:tplc="357C6432" w:tentative="1">
      <w:start w:val="1"/>
      <w:numFmt w:val="lowerLetter"/>
      <w:lvlText w:val="%8."/>
      <w:lvlJc w:val="left"/>
      <w:pPr>
        <w:ind w:left="5760" w:hanging="360"/>
      </w:pPr>
    </w:lvl>
    <w:lvl w:ilvl="8" w:tplc="37145DD2" w:tentative="1">
      <w:start w:val="1"/>
      <w:numFmt w:val="lowerRoman"/>
      <w:lvlText w:val="%9."/>
      <w:lvlJc w:val="right"/>
      <w:pPr>
        <w:ind w:left="6480" w:hanging="180"/>
      </w:pPr>
    </w:lvl>
  </w:abstractNum>
  <w:abstractNum w:abstractNumId="5" w15:restartNumberingAfterBreak="0">
    <w:nsid w:val="142626FB"/>
    <w:multiLevelType w:val="hybridMultilevel"/>
    <w:tmpl w:val="628E4330"/>
    <w:lvl w:ilvl="0" w:tplc="892E382A">
      <w:start w:val="1"/>
      <w:numFmt w:val="bullet"/>
      <w:lvlText w:val="o"/>
      <w:lvlJc w:val="left"/>
      <w:pPr>
        <w:ind w:left="1587" w:hanging="360"/>
      </w:pPr>
      <w:rPr>
        <w:rFonts w:ascii="Courier New" w:hAnsi="Courier New" w:cs="Courier New" w:hint="default"/>
      </w:rPr>
    </w:lvl>
    <w:lvl w:ilvl="1" w:tplc="01B84676">
      <w:start w:val="1"/>
      <w:numFmt w:val="bullet"/>
      <w:lvlText w:val="o"/>
      <w:lvlJc w:val="left"/>
      <w:pPr>
        <w:ind w:left="2307" w:hanging="360"/>
      </w:pPr>
      <w:rPr>
        <w:rFonts w:ascii="Courier New" w:hAnsi="Courier New" w:cs="Courier New" w:hint="default"/>
      </w:rPr>
    </w:lvl>
    <w:lvl w:ilvl="2" w:tplc="A0CC366C">
      <w:start w:val="1"/>
      <w:numFmt w:val="bullet"/>
      <w:lvlText w:val=""/>
      <w:lvlJc w:val="left"/>
      <w:pPr>
        <w:ind w:left="3027" w:hanging="360"/>
      </w:pPr>
      <w:rPr>
        <w:rFonts w:ascii="Wingdings" w:hAnsi="Wingdings" w:hint="default"/>
      </w:rPr>
    </w:lvl>
    <w:lvl w:ilvl="3" w:tplc="48FEB4E6">
      <w:start w:val="1"/>
      <w:numFmt w:val="bullet"/>
      <w:lvlText w:val=""/>
      <w:lvlJc w:val="left"/>
      <w:pPr>
        <w:ind w:left="3747" w:hanging="360"/>
      </w:pPr>
      <w:rPr>
        <w:rFonts w:ascii="Symbol" w:hAnsi="Symbol" w:hint="default"/>
      </w:rPr>
    </w:lvl>
    <w:lvl w:ilvl="4" w:tplc="925082E4">
      <w:start w:val="1"/>
      <w:numFmt w:val="bullet"/>
      <w:lvlText w:val="o"/>
      <w:lvlJc w:val="left"/>
      <w:pPr>
        <w:ind w:left="4467" w:hanging="360"/>
      </w:pPr>
      <w:rPr>
        <w:rFonts w:ascii="Courier New" w:hAnsi="Courier New" w:cs="Courier New" w:hint="default"/>
      </w:rPr>
    </w:lvl>
    <w:lvl w:ilvl="5" w:tplc="D2CEC652">
      <w:start w:val="1"/>
      <w:numFmt w:val="bullet"/>
      <w:lvlText w:val=""/>
      <w:lvlJc w:val="left"/>
      <w:pPr>
        <w:ind w:left="5187" w:hanging="360"/>
      </w:pPr>
      <w:rPr>
        <w:rFonts w:ascii="Wingdings" w:hAnsi="Wingdings" w:hint="default"/>
      </w:rPr>
    </w:lvl>
    <w:lvl w:ilvl="6" w:tplc="C1CADBF2">
      <w:start w:val="1"/>
      <w:numFmt w:val="bullet"/>
      <w:lvlText w:val=""/>
      <w:lvlJc w:val="left"/>
      <w:pPr>
        <w:ind w:left="5907" w:hanging="360"/>
      </w:pPr>
      <w:rPr>
        <w:rFonts w:ascii="Symbol" w:hAnsi="Symbol" w:hint="default"/>
      </w:rPr>
    </w:lvl>
    <w:lvl w:ilvl="7" w:tplc="7C960CA4">
      <w:start w:val="1"/>
      <w:numFmt w:val="bullet"/>
      <w:lvlText w:val="o"/>
      <w:lvlJc w:val="left"/>
      <w:pPr>
        <w:ind w:left="6627" w:hanging="360"/>
      </w:pPr>
      <w:rPr>
        <w:rFonts w:ascii="Courier New" w:hAnsi="Courier New" w:cs="Courier New" w:hint="default"/>
      </w:rPr>
    </w:lvl>
    <w:lvl w:ilvl="8" w:tplc="6234F74C">
      <w:start w:val="1"/>
      <w:numFmt w:val="bullet"/>
      <w:lvlText w:val=""/>
      <w:lvlJc w:val="left"/>
      <w:pPr>
        <w:ind w:left="7347" w:hanging="360"/>
      </w:pPr>
      <w:rPr>
        <w:rFonts w:ascii="Wingdings" w:hAnsi="Wingdings" w:hint="default"/>
      </w:rPr>
    </w:lvl>
  </w:abstractNum>
  <w:abstractNum w:abstractNumId="6" w15:restartNumberingAfterBreak="0">
    <w:nsid w:val="20191713"/>
    <w:multiLevelType w:val="multilevel"/>
    <w:tmpl w:val="C47200E4"/>
    <w:lvl w:ilvl="0">
      <w:start w:val="1"/>
      <w:numFmt w:val="bullet"/>
      <w:lvlText w:val=""/>
      <w:lvlJc w:val="left"/>
      <w:pPr>
        <w:ind w:hanging="111"/>
      </w:pPr>
      <w:rPr>
        <w:rFonts w:ascii="Symbol" w:hAnsi="Symbol" w:hint="default"/>
        <w:b w:val="0"/>
        <w:bCs w:val="0"/>
        <w:position w:val="5"/>
        <w:sz w:val="12"/>
        <w:szCs w:val="12"/>
      </w:rPr>
    </w:lvl>
    <w:lvl w:ilvl="1">
      <w:start w:val="1"/>
      <w:numFmt w:val="decimal"/>
      <w:lvlText w:val="%2."/>
      <w:lvlJc w:val="left"/>
      <w:pPr>
        <w:ind w:hanging="360"/>
      </w:pPr>
      <w:rPr>
        <w:b w:val="0"/>
        <w:w w:val="131"/>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400F38DA"/>
    <w:multiLevelType w:val="hybridMultilevel"/>
    <w:tmpl w:val="2F1A8088"/>
    <w:lvl w:ilvl="0" w:tplc="5712B0C0">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2322B2"/>
    <w:multiLevelType w:val="hybridMultilevel"/>
    <w:tmpl w:val="0A90821E"/>
    <w:lvl w:ilvl="0" w:tplc="F4FC1F42">
      <w:start w:val="1"/>
      <w:numFmt w:val="bullet"/>
      <w:lvlText w:val=""/>
      <w:lvlJc w:val="left"/>
      <w:pPr>
        <w:tabs>
          <w:tab w:val="num" w:pos="720"/>
        </w:tabs>
        <w:ind w:left="720" w:hanging="360"/>
      </w:pPr>
      <w:rPr>
        <w:rFonts w:ascii="Symbol" w:hAnsi="Symbol" w:hint="default"/>
        <w:sz w:val="24"/>
        <w:szCs w:val="24"/>
      </w:rPr>
    </w:lvl>
    <w:lvl w:ilvl="1" w:tplc="A5322042">
      <w:start w:val="1"/>
      <w:numFmt w:val="bullet"/>
      <w:lvlText w:val="o"/>
      <w:lvlJc w:val="left"/>
      <w:pPr>
        <w:tabs>
          <w:tab w:val="num" w:pos="1440"/>
        </w:tabs>
        <w:ind w:left="1440" w:hanging="360"/>
      </w:pPr>
      <w:rPr>
        <w:rFonts w:ascii="Courier New" w:hAnsi="Courier New" w:cs="Arial" w:hint="default"/>
      </w:rPr>
    </w:lvl>
    <w:lvl w:ilvl="2" w:tplc="C8226F76">
      <w:start w:val="1"/>
      <w:numFmt w:val="bullet"/>
      <w:lvlText w:val=""/>
      <w:lvlJc w:val="left"/>
      <w:pPr>
        <w:tabs>
          <w:tab w:val="num" w:pos="2160"/>
        </w:tabs>
        <w:ind w:left="2160" w:hanging="360"/>
      </w:pPr>
      <w:rPr>
        <w:rFonts w:ascii="Wingdings" w:hAnsi="Wingdings" w:hint="default"/>
      </w:rPr>
    </w:lvl>
    <w:lvl w:ilvl="3" w:tplc="641626F2">
      <w:start w:val="1"/>
      <w:numFmt w:val="bullet"/>
      <w:lvlText w:val=""/>
      <w:lvlJc w:val="left"/>
      <w:pPr>
        <w:tabs>
          <w:tab w:val="num" w:pos="2880"/>
        </w:tabs>
        <w:ind w:left="2880" w:hanging="360"/>
      </w:pPr>
      <w:rPr>
        <w:rFonts w:ascii="Symbol" w:hAnsi="Symbol" w:hint="default"/>
      </w:rPr>
    </w:lvl>
    <w:lvl w:ilvl="4" w:tplc="75EC7EAC">
      <w:start w:val="1"/>
      <w:numFmt w:val="bullet"/>
      <w:lvlText w:val="o"/>
      <w:lvlJc w:val="left"/>
      <w:pPr>
        <w:tabs>
          <w:tab w:val="num" w:pos="3600"/>
        </w:tabs>
        <w:ind w:left="3600" w:hanging="360"/>
      </w:pPr>
      <w:rPr>
        <w:rFonts w:ascii="Courier New" w:hAnsi="Courier New" w:cs="Arial" w:hint="default"/>
      </w:rPr>
    </w:lvl>
    <w:lvl w:ilvl="5" w:tplc="EB828410">
      <w:start w:val="1"/>
      <w:numFmt w:val="bullet"/>
      <w:lvlText w:val=""/>
      <w:lvlJc w:val="left"/>
      <w:pPr>
        <w:tabs>
          <w:tab w:val="num" w:pos="4320"/>
        </w:tabs>
        <w:ind w:left="4320" w:hanging="360"/>
      </w:pPr>
      <w:rPr>
        <w:rFonts w:ascii="Wingdings" w:hAnsi="Wingdings" w:hint="default"/>
      </w:rPr>
    </w:lvl>
    <w:lvl w:ilvl="6" w:tplc="EF7CF9BA">
      <w:start w:val="1"/>
      <w:numFmt w:val="bullet"/>
      <w:lvlText w:val=""/>
      <w:lvlJc w:val="left"/>
      <w:pPr>
        <w:tabs>
          <w:tab w:val="num" w:pos="5040"/>
        </w:tabs>
        <w:ind w:left="5040" w:hanging="360"/>
      </w:pPr>
      <w:rPr>
        <w:rFonts w:ascii="Symbol" w:hAnsi="Symbol" w:hint="default"/>
      </w:rPr>
    </w:lvl>
    <w:lvl w:ilvl="7" w:tplc="206C18B8">
      <w:start w:val="1"/>
      <w:numFmt w:val="bullet"/>
      <w:lvlText w:val="o"/>
      <w:lvlJc w:val="left"/>
      <w:pPr>
        <w:tabs>
          <w:tab w:val="num" w:pos="5760"/>
        </w:tabs>
        <w:ind w:left="5760" w:hanging="360"/>
      </w:pPr>
      <w:rPr>
        <w:rFonts w:ascii="Courier New" w:hAnsi="Courier New" w:cs="Arial" w:hint="default"/>
      </w:rPr>
    </w:lvl>
    <w:lvl w:ilvl="8" w:tplc="97DEC15C">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7D02FD"/>
    <w:multiLevelType w:val="multilevel"/>
    <w:tmpl w:val="02304530"/>
    <w:lvl w:ilvl="0">
      <w:start w:val="4"/>
      <w:numFmt w:val="decimal"/>
      <w:lvlText w:val="%1"/>
      <w:lvlJc w:val="left"/>
      <w:pPr>
        <w:ind w:hanging="111"/>
      </w:pPr>
      <w:rPr>
        <w:rFonts w:ascii="Palatino Linotype" w:hAnsi="Palatino Linotype" w:cs="Palatino Linotype"/>
        <w:b w:val="0"/>
        <w:bCs w:val="0"/>
        <w:position w:val="5"/>
        <w:sz w:val="12"/>
        <w:szCs w:val="12"/>
      </w:rPr>
    </w:lvl>
    <w:lvl w:ilvl="1">
      <w:start w:val="1"/>
      <w:numFmt w:val="decimal"/>
      <w:lvlText w:val="%2."/>
      <w:lvlJc w:val="left"/>
      <w:pPr>
        <w:ind w:hanging="360"/>
      </w:pPr>
      <w:rPr>
        <w:b w:val="0"/>
        <w:w w:val="131"/>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5DC34D3D"/>
    <w:multiLevelType w:val="hybridMultilevel"/>
    <w:tmpl w:val="D7346B22"/>
    <w:lvl w:ilvl="0" w:tplc="213C5DE6">
      <w:start w:val="1"/>
      <w:numFmt w:val="decimal"/>
      <w:lvlText w:val="%1."/>
      <w:lvlJc w:val="left"/>
      <w:pPr>
        <w:ind w:left="867" w:hanging="360"/>
      </w:pPr>
    </w:lvl>
    <w:lvl w:ilvl="1" w:tplc="C9929054" w:tentative="1">
      <w:start w:val="1"/>
      <w:numFmt w:val="lowerLetter"/>
      <w:lvlText w:val="%2."/>
      <w:lvlJc w:val="left"/>
      <w:pPr>
        <w:ind w:left="1587" w:hanging="360"/>
      </w:pPr>
    </w:lvl>
    <w:lvl w:ilvl="2" w:tplc="73C007EC" w:tentative="1">
      <w:start w:val="1"/>
      <w:numFmt w:val="lowerRoman"/>
      <w:lvlText w:val="%3."/>
      <w:lvlJc w:val="right"/>
      <w:pPr>
        <w:ind w:left="2307" w:hanging="180"/>
      </w:pPr>
    </w:lvl>
    <w:lvl w:ilvl="3" w:tplc="64847A00" w:tentative="1">
      <w:start w:val="1"/>
      <w:numFmt w:val="decimal"/>
      <w:lvlText w:val="%4."/>
      <w:lvlJc w:val="left"/>
      <w:pPr>
        <w:ind w:left="3027" w:hanging="360"/>
      </w:pPr>
    </w:lvl>
    <w:lvl w:ilvl="4" w:tplc="E3280F66" w:tentative="1">
      <w:start w:val="1"/>
      <w:numFmt w:val="lowerLetter"/>
      <w:lvlText w:val="%5."/>
      <w:lvlJc w:val="left"/>
      <w:pPr>
        <w:ind w:left="3747" w:hanging="360"/>
      </w:pPr>
    </w:lvl>
    <w:lvl w:ilvl="5" w:tplc="06BA789E" w:tentative="1">
      <w:start w:val="1"/>
      <w:numFmt w:val="lowerRoman"/>
      <w:lvlText w:val="%6."/>
      <w:lvlJc w:val="right"/>
      <w:pPr>
        <w:ind w:left="4467" w:hanging="180"/>
      </w:pPr>
    </w:lvl>
    <w:lvl w:ilvl="6" w:tplc="BEB4B482" w:tentative="1">
      <w:start w:val="1"/>
      <w:numFmt w:val="decimal"/>
      <w:lvlText w:val="%7."/>
      <w:lvlJc w:val="left"/>
      <w:pPr>
        <w:ind w:left="5187" w:hanging="360"/>
      </w:pPr>
    </w:lvl>
    <w:lvl w:ilvl="7" w:tplc="87ECF936" w:tentative="1">
      <w:start w:val="1"/>
      <w:numFmt w:val="lowerLetter"/>
      <w:lvlText w:val="%8."/>
      <w:lvlJc w:val="left"/>
      <w:pPr>
        <w:ind w:left="5907" w:hanging="360"/>
      </w:pPr>
    </w:lvl>
    <w:lvl w:ilvl="8" w:tplc="1D48A6EC" w:tentative="1">
      <w:start w:val="1"/>
      <w:numFmt w:val="lowerRoman"/>
      <w:lvlText w:val="%9."/>
      <w:lvlJc w:val="right"/>
      <w:pPr>
        <w:ind w:left="6627" w:hanging="180"/>
      </w:pPr>
    </w:lvl>
  </w:abstractNum>
  <w:abstractNum w:abstractNumId="11" w15:restartNumberingAfterBreak="0">
    <w:nsid w:val="60835F0E"/>
    <w:multiLevelType w:val="hybridMultilevel"/>
    <w:tmpl w:val="F13E8DAE"/>
    <w:lvl w:ilvl="0" w:tplc="87C61E60">
      <w:start w:val="1"/>
      <w:numFmt w:val="decimal"/>
      <w:lvlText w:val="%1."/>
      <w:lvlJc w:val="left"/>
      <w:pPr>
        <w:ind w:left="1290" w:hanging="360"/>
      </w:pPr>
    </w:lvl>
    <w:lvl w:ilvl="1" w:tplc="D2860F4A" w:tentative="1">
      <w:start w:val="1"/>
      <w:numFmt w:val="lowerLetter"/>
      <w:lvlText w:val="%2."/>
      <w:lvlJc w:val="left"/>
      <w:pPr>
        <w:ind w:left="2010" w:hanging="360"/>
      </w:pPr>
    </w:lvl>
    <w:lvl w:ilvl="2" w:tplc="07F237C2" w:tentative="1">
      <w:start w:val="1"/>
      <w:numFmt w:val="lowerRoman"/>
      <w:lvlText w:val="%3."/>
      <w:lvlJc w:val="right"/>
      <w:pPr>
        <w:ind w:left="2730" w:hanging="180"/>
      </w:pPr>
    </w:lvl>
    <w:lvl w:ilvl="3" w:tplc="8CB80EA6" w:tentative="1">
      <w:start w:val="1"/>
      <w:numFmt w:val="decimal"/>
      <w:lvlText w:val="%4."/>
      <w:lvlJc w:val="left"/>
      <w:pPr>
        <w:ind w:left="3450" w:hanging="360"/>
      </w:pPr>
    </w:lvl>
    <w:lvl w:ilvl="4" w:tplc="6CFC7E06" w:tentative="1">
      <w:start w:val="1"/>
      <w:numFmt w:val="lowerLetter"/>
      <w:lvlText w:val="%5."/>
      <w:lvlJc w:val="left"/>
      <w:pPr>
        <w:ind w:left="4170" w:hanging="360"/>
      </w:pPr>
    </w:lvl>
    <w:lvl w:ilvl="5" w:tplc="317CBB78" w:tentative="1">
      <w:start w:val="1"/>
      <w:numFmt w:val="lowerRoman"/>
      <w:lvlText w:val="%6."/>
      <w:lvlJc w:val="right"/>
      <w:pPr>
        <w:ind w:left="4890" w:hanging="180"/>
      </w:pPr>
    </w:lvl>
    <w:lvl w:ilvl="6" w:tplc="97D07302" w:tentative="1">
      <w:start w:val="1"/>
      <w:numFmt w:val="decimal"/>
      <w:lvlText w:val="%7."/>
      <w:lvlJc w:val="left"/>
      <w:pPr>
        <w:ind w:left="5610" w:hanging="360"/>
      </w:pPr>
    </w:lvl>
    <w:lvl w:ilvl="7" w:tplc="847E5A1A" w:tentative="1">
      <w:start w:val="1"/>
      <w:numFmt w:val="lowerLetter"/>
      <w:lvlText w:val="%8."/>
      <w:lvlJc w:val="left"/>
      <w:pPr>
        <w:ind w:left="6330" w:hanging="360"/>
      </w:pPr>
    </w:lvl>
    <w:lvl w:ilvl="8" w:tplc="057E0C6A" w:tentative="1">
      <w:start w:val="1"/>
      <w:numFmt w:val="lowerRoman"/>
      <w:lvlText w:val="%9."/>
      <w:lvlJc w:val="right"/>
      <w:pPr>
        <w:ind w:left="7050" w:hanging="180"/>
      </w:pPr>
    </w:lvl>
  </w:abstractNum>
  <w:abstractNum w:abstractNumId="12" w15:restartNumberingAfterBreak="0">
    <w:nsid w:val="6520388E"/>
    <w:multiLevelType w:val="hybridMultilevel"/>
    <w:tmpl w:val="CA92BB9A"/>
    <w:lvl w:ilvl="0" w:tplc="42B8DA94">
      <w:start w:val="1"/>
      <w:numFmt w:val="decimal"/>
      <w:lvlText w:val="%1."/>
      <w:lvlJc w:val="left"/>
      <w:pPr>
        <w:ind w:left="720" w:hanging="360"/>
      </w:pPr>
    </w:lvl>
    <w:lvl w:ilvl="1" w:tplc="18328C80" w:tentative="1">
      <w:start w:val="1"/>
      <w:numFmt w:val="lowerLetter"/>
      <w:lvlText w:val="%2."/>
      <w:lvlJc w:val="left"/>
      <w:pPr>
        <w:ind w:left="1440" w:hanging="360"/>
      </w:pPr>
    </w:lvl>
    <w:lvl w:ilvl="2" w:tplc="80968DF0" w:tentative="1">
      <w:start w:val="1"/>
      <w:numFmt w:val="lowerRoman"/>
      <w:lvlText w:val="%3."/>
      <w:lvlJc w:val="right"/>
      <w:pPr>
        <w:ind w:left="2160" w:hanging="180"/>
      </w:pPr>
    </w:lvl>
    <w:lvl w:ilvl="3" w:tplc="9EC6B370" w:tentative="1">
      <w:start w:val="1"/>
      <w:numFmt w:val="decimal"/>
      <w:lvlText w:val="%4."/>
      <w:lvlJc w:val="left"/>
      <w:pPr>
        <w:ind w:left="2880" w:hanging="360"/>
      </w:pPr>
    </w:lvl>
    <w:lvl w:ilvl="4" w:tplc="5C22EF24" w:tentative="1">
      <w:start w:val="1"/>
      <w:numFmt w:val="lowerLetter"/>
      <w:lvlText w:val="%5."/>
      <w:lvlJc w:val="left"/>
      <w:pPr>
        <w:ind w:left="3600" w:hanging="360"/>
      </w:pPr>
    </w:lvl>
    <w:lvl w:ilvl="5" w:tplc="D5EC3B28" w:tentative="1">
      <w:start w:val="1"/>
      <w:numFmt w:val="lowerRoman"/>
      <w:lvlText w:val="%6."/>
      <w:lvlJc w:val="right"/>
      <w:pPr>
        <w:ind w:left="4320" w:hanging="180"/>
      </w:pPr>
    </w:lvl>
    <w:lvl w:ilvl="6" w:tplc="E9C02EEC" w:tentative="1">
      <w:start w:val="1"/>
      <w:numFmt w:val="decimal"/>
      <w:lvlText w:val="%7."/>
      <w:lvlJc w:val="left"/>
      <w:pPr>
        <w:ind w:left="5040" w:hanging="360"/>
      </w:pPr>
    </w:lvl>
    <w:lvl w:ilvl="7" w:tplc="788C12D2" w:tentative="1">
      <w:start w:val="1"/>
      <w:numFmt w:val="lowerLetter"/>
      <w:lvlText w:val="%8."/>
      <w:lvlJc w:val="left"/>
      <w:pPr>
        <w:ind w:left="5760" w:hanging="360"/>
      </w:pPr>
    </w:lvl>
    <w:lvl w:ilvl="8" w:tplc="70086014" w:tentative="1">
      <w:start w:val="1"/>
      <w:numFmt w:val="lowerRoman"/>
      <w:lvlText w:val="%9."/>
      <w:lvlJc w:val="right"/>
      <w:pPr>
        <w:ind w:left="6480" w:hanging="180"/>
      </w:pPr>
    </w:lvl>
  </w:abstractNum>
  <w:abstractNum w:abstractNumId="13" w15:restartNumberingAfterBreak="0">
    <w:nsid w:val="6BC77B9A"/>
    <w:multiLevelType w:val="hybridMultilevel"/>
    <w:tmpl w:val="438EEF4C"/>
    <w:lvl w:ilvl="0" w:tplc="4B8C8DDC">
      <w:start w:val="1"/>
      <w:numFmt w:val="bullet"/>
      <w:lvlText w:val=""/>
      <w:lvlJc w:val="left"/>
      <w:pPr>
        <w:tabs>
          <w:tab w:val="num" w:pos="720"/>
        </w:tabs>
        <w:ind w:left="720" w:hanging="360"/>
      </w:pPr>
      <w:rPr>
        <w:rFonts w:ascii="Symbol" w:hAnsi="Symbol" w:hint="default"/>
        <w:sz w:val="24"/>
        <w:szCs w:val="24"/>
      </w:rPr>
    </w:lvl>
    <w:lvl w:ilvl="1" w:tplc="DB084444">
      <w:start w:val="1"/>
      <w:numFmt w:val="bullet"/>
      <w:lvlText w:val="o"/>
      <w:lvlJc w:val="left"/>
      <w:pPr>
        <w:tabs>
          <w:tab w:val="num" w:pos="1440"/>
        </w:tabs>
        <w:ind w:left="1440" w:hanging="360"/>
      </w:pPr>
      <w:rPr>
        <w:rFonts w:ascii="Courier New" w:hAnsi="Courier New" w:cs="Courier New" w:hint="default"/>
      </w:rPr>
    </w:lvl>
    <w:lvl w:ilvl="2" w:tplc="6EA42C04">
      <w:start w:val="1"/>
      <w:numFmt w:val="bullet"/>
      <w:lvlText w:val=""/>
      <w:lvlJc w:val="left"/>
      <w:pPr>
        <w:tabs>
          <w:tab w:val="num" w:pos="2160"/>
        </w:tabs>
        <w:ind w:left="2160" w:hanging="360"/>
      </w:pPr>
      <w:rPr>
        <w:rFonts w:ascii="Wingdings" w:hAnsi="Wingdings" w:hint="default"/>
      </w:rPr>
    </w:lvl>
    <w:lvl w:ilvl="3" w:tplc="F372DC6A">
      <w:start w:val="1"/>
      <w:numFmt w:val="bullet"/>
      <w:lvlText w:val=""/>
      <w:lvlJc w:val="left"/>
      <w:pPr>
        <w:tabs>
          <w:tab w:val="num" w:pos="2880"/>
        </w:tabs>
        <w:ind w:left="2880" w:hanging="360"/>
      </w:pPr>
      <w:rPr>
        <w:rFonts w:ascii="Symbol" w:hAnsi="Symbol" w:hint="default"/>
      </w:rPr>
    </w:lvl>
    <w:lvl w:ilvl="4" w:tplc="8C447C12">
      <w:start w:val="1"/>
      <w:numFmt w:val="bullet"/>
      <w:lvlText w:val="o"/>
      <w:lvlJc w:val="left"/>
      <w:pPr>
        <w:tabs>
          <w:tab w:val="num" w:pos="3600"/>
        </w:tabs>
        <w:ind w:left="3600" w:hanging="360"/>
      </w:pPr>
      <w:rPr>
        <w:rFonts w:ascii="Courier New" w:hAnsi="Courier New" w:cs="Courier New" w:hint="default"/>
      </w:rPr>
    </w:lvl>
    <w:lvl w:ilvl="5" w:tplc="25E8B4F0">
      <w:start w:val="1"/>
      <w:numFmt w:val="bullet"/>
      <w:lvlText w:val=""/>
      <w:lvlJc w:val="left"/>
      <w:pPr>
        <w:tabs>
          <w:tab w:val="num" w:pos="4320"/>
        </w:tabs>
        <w:ind w:left="4320" w:hanging="360"/>
      </w:pPr>
      <w:rPr>
        <w:rFonts w:ascii="Wingdings" w:hAnsi="Wingdings" w:hint="default"/>
      </w:rPr>
    </w:lvl>
    <w:lvl w:ilvl="6" w:tplc="010A4100">
      <w:start w:val="1"/>
      <w:numFmt w:val="bullet"/>
      <w:lvlText w:val=""/>
      <w:lvlJc w:val="left"/>
      <w:pPr>
        <w:tabs>
          <w:tab w:val="num" w:pos="5040"/>
        </w:tabs>
        <w:ind w:left="5040" w:hanging="360"/>
      </w:pPr>
      <w:rPr>
        <w:rFonts w:ascii="Symbol" w:hAnsi="Symbol" w:hint="default"/>
      </w:rPr>
    </w:lvl>
    <w:lvl w:ilvl="7" w:tplc="EAE274D6">
      <w:start w:val="1"/>
      <w:numFmt w:val="bullet"/>
      <w:lvlText w:val="o"/>
      <w:lvlJc w:val="left"/>
      <w:pPr>
        <w:tabs>
          <w:tab w:val="num" w:pos="5760"/>
        </w:tabs>
        <w:ind w:left="5760" w:hanging="360"/>
      </w:pPr>
      <w:rPr>
        <w:rFonts w:ascii="Courier New" w:hAnsi="Courier New" w:cs="Courier New" w:hint="default"/>
      </w:rPr>
    </w:lvl>
    <w:lvl w:ilvl="8" w:tplc="A366FEA0">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6C3E7A"/>
    <w:multiLevelType w:val="hybridMultilevel"/>
    <w:tmpl w:val="B58C5D6A"/>
    <w:lvl w:ilvl="0" w:tplc="0EAC2578">
      <w:start w:val="1"/>
      <w:numFmt w:val="bullet"/>
      <w:lvlText w:val=""/>
      <w:lvlJc w:val="left"/>
      <w:pPr>
        <w:ind w:left="720" w:hanging="360"/>
      </w:pPr>
      <w:rPr>
        <w:rFonts w:ascii="Symbol" w:hAnsi="Symbol" w:hint="default"/>
      </w:rPr>
    </w:lvl>
    <w:lvl w:ilvl="1" w:tplc="E202E64E">
      <w:start w:val="1"/>
      <w:numFmt w:val="bullet"/>
      <w:lvlText w:val="o"/>
      <w:lvlJc w:val="left"/>
      <w:pPr>
        <w:ind w:left="1440" w:hanging="360"/>
      </w:pPr>
      <w:rPr>
        <w:rFonts w:ascii="Courier New" w:hAnsi="Courier New" w:cs="Courier New" w:hint="default"/>
      </w:rPr>
    </w:lvl>
    <w:lvl w:ilvl="2" w:tplc="F0A0B358" w:tentative="1">
      <w:start w:val="1"/>
      <w:numFmt w:val="bullet"/>
      <w:lvlText w:val=""/>
      <w:lvlJc w:val="left"/>
      <w:pPr>
        <w:ind w:left="2160" w:hanging="360"/>
      </w:pPr>
      <w:rPr>
        <w:rFonts w:ascii="Wingdings" w:hAnsi="Wingdings" w:hint="default"/>
      </w:rPr>
    </w:lvl>
    <w:lvl w:ilvl="3" w:tplc="BF4A0828" w:tentative="1">
      <w:start w:val="1"/>
      <w:numFmt w:val="bullet"/>
      <w:lvlText w:val=""/>
      <w:lvlJc w:val="left"/>
      <w:pPr>
        <w:ind w:left="2880" w:hanging="360"/>
      </w:pPr>
      <w:rPr>
        <w:rFonts w:ascii="Symbol" w:hAnsi="Symbol" w:hint="default"/>
      </w:rPr>
    </w:lvl>
    <w:lvl w:ilvl="4" w:tplc="69B487F6" w:tentative="1">
      <w:start w:val="1"/>
      <w:numFmt w:val="bullet"/>
      <w:lvlText w:val="o"/>
      <w:lvlJc w:val="left"/>
      <w:pPr>
        <w:ind w:left="3600" w:hanging="360"/>
      </w:pPr>
      <w:rPr>
        <w:rFonts w:ascii="Courier New" w:hAnsi="Courier New" w:cs="Courier New" w:hint="default"/>
      </w:rPr>
    </w:lvl>
    <w:lvl w:ilvl="5" w:tplc="6C0A48DC" w:tentative="1">
      <w:start w:val="1"/>
      <w:numFmt w:val="bullet"/>
      <w:lvlText w:val=""/>
      <w:lvlJc w:val="left"/>
      <w:pPr>
        <w:ind w:left="4320" w:hanging="360"/>
      </w:pPr>
      <w:rPr>
        <w:rFonts w:ascii="Wingdings" w:hAnsi="Wingdings" w:hint="default"/>
      </w:rPr>
    </w:lvl>
    <w:lvl w:ilvl="6" w:tplc="7C068E8E" w:tentative="1">
      <w:start w:val="1"/>
      <w:numFmt w:val="bullet"/>
      <w:lvlText w:val=""/>
      <w:lvlJc w:val="left"/>
      <w:pPr>
        <w:ind w:left="5040" w:hanging="360"/>
      </w:pPr>
      <w:rPr>
        <w:rFonts w:ascii="Symbol" w:hAnsi="Symbol" w:hint="default"/>
      </w:rPr>
    </w:lvl>
    <w:lvl w:ilvl="7" w:tplc="65D6631A" w:tentative="1">
      <w:start w:val="1"/>
      <w:numFmt w:val="bullet"/>
      <w:lvlText w:val="o"/>
      <w:lvlJc w:val="left"/>
      <w:pPr>
        <w:ind w:left="5760" w:hanging="360"/>
      </w:pPr>
      <w:rPr>
        <w:rFonts w:ascii="Courier New" w:hAnsi="Courier New" w:cs="Courier New" w:hint="default"/>
      </w:rPr>
    </w:lvl>
    <w:lvl w:ilvl="8" w:tplc="695EAC82" w:tentative="1">
      <w:start w:val="1"/>
      <w:numFmt w:val="bullet"/>
      <w:lvlText w:val=""/>
      <w:lvlJc w:val="left"/>
      <w:pPr>
        <w:ind w:left="6480" w:hanging="360"/>
      </w:pPr>
      <w:rPr>
        <w:rFonts w:ascii="Wingdings" w:hAnsi="Wingdings" w:hint="default"/>
      </w:rPr>
    </w:lvl>
  </w:abstractNum>
  <w:abstractNum w:abstractNumId="15" w15:restartNumberingAfterBreak="0">
    <w:nsid w:val="7CD54E57"/>
    <w:multiLevelType w:val="hybridMultilevel"/>
    <w:tmpl w:val="471AFE32"/>
    <w:lvl w:ilvl="0" w:tplc="DB1C5870">
      <w:start w:val="1"/>
      <w:numFmt w:val="bullet"/>
      <w:lvlText w:val=""/>
      <w:lvlJc w:val="left"/>
      <w:pPr>
        <w:ind w:left="720" w:hanging="360"/>
      </w:pPr>
      <w:rPr>
        <w:rFonts w:ascii="Symbol" w:hAnsi="Symbol" w:hint="default"/>
      </w:rPr>
    </w:lvl>
    <w:lvl w:ilvl="1" w:tplc="1AF8E320" w:tentative="1">
      <w:start w:val="1"/>
      <w:numFmt w:val="bullet"/>
      <w:lvlText w:val="o"/>
      <w:lvlJc w:val="left"/>
      <w:pPr>
        <w:ind w:left="1440" w:hanging="360"/>
      </w:pPr>
      <w:rPr>
        <w:rFonts w:ascii="Courier New" w:hAnsi="Courier New" w:cs="Courier New" w:hint="default"/>
      </w:rPr>
    </w:lvl>
    <w:lvl w:ilvl="2" w:tplc="F71EEF8C" w:tentative="1">
      <w:start w:val="1"/>
      <w:numFmt w:val="bullet"/>
      <w:lvlText w:val=""/>
      <w:lvlJc w:val="left"/>
      <w:pPr>
        <w:ind w:left="2160" w:hanging="360"/>
      </w:pPr>
      <w:rPr>
        <w:rFonts w:ascii="Wingdings" w:hAnsi="Wingdings" w:hint="default"/>
      </w:rPr>
    </w:lvl>
    <w:lvl w:ilvl="3" w:tplc="913E5A88" w:tentative="1">
      <w:start w:val="1"/>
      <w:numFmt w:val="bullet"/>
      <w:lvlText w:val=""/>
      <w:lvlJc w:val="left"/>
      <w:pPr>
        <w:ind w:left="2880" w:hanging="360"/>
      </w:pPr>
      <w:rPr>
        <w:rFonts w:ascii="Symbol" w:hAnsi="Symbol" w:hint="default"/>
      </w:rPr>
    </w:lvl>
    <w:lvl w:ilvl="4" w:tplc="92AAEF40" w:tentative="1">
      <w:start w:val="1"/>
      <w:numFmt w:val="bullet"/>
      <w:lvlText w:val="o"/>
      <w:lvlJc w:val="left"/>
      <w:pPr>
        <w:ind w:left="3600" w:hanging="360"/>
      </w:pPr>
      <w:rPr>
        <w:rFonts w:ascii="Courier New" w:hAnsi="Courier New" w:cs="Courier New" w:hint="default"/>
      </w:rPr>
    </w:lvl>
    <w:lvl w:ilvl="5" w:tplc="188898F2" w:tentative="1">
      <w:start w:val="1"/>
      <w:numFmt w:val="bullet"/>
      <w:lvlText w:val=""/>
      <w:lvlJc w:val="left"/>
      <w:pPr>
        <w:ind w:left="4320" w:hanging="360"/>
      </w:pPr>
      <w:rPr>
        <w:rFonts w:ascii="Wingdings" w:hAnsi="Wingdings" w:hint="default"/>
      </w:rPr>
    </w:lvl>
    <w:lvl w:ilvl="6" w:tplc="0670483C" w:tentative="1">
      <w:start w:val="1"/>
      <w:numFmt w:val="bullet"/>
      <w:lvlText w:val=""/>
      <w:lvlJc w:val="left"/>
      <w:pPr>
        <w:ind w:left="5040" w:hanging="360"/>
      </w:pPr>
      <w:rPr>
        <w:rFonts w:ascii="Symbol" w:hAnsi="Symbol" w:hint="default"/>
      </w:rPr>
    </w:lvl>
    <w:lvl w:ilvl="7" w:tplc="8368B3A0" w:tentative="1">
      <w:start w:val="1"/>
      <w:numFmt w:val="bullet"/>
      <w:lvlText w:val="o"/>
      <w:lvlJc w:val="left"/>
      <w:pPr>
        <w:ind w:left="5760" w:hanging="360"/>
      </w:pPr>
      <w:rPr>
        <w:rFonts w:ascii="Courier New" w:hAnsi="Courier New" w:cs="Courier New" w:hint="default"/>
      </w:rPr>
    </w:lvl>
    <w:lvl w:ilvl="8" w:tplc="7C80BEAE"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0"/>
  </w:num>
  <w:num w:numId="4">
    <w:abstractNumId w:val="4"/>
  </w:num>
  <w:num w:numId="5">
    <w:abstractNumId w:val="9"/>
  </w:num>
  <w:num w:numId="6">
    <w:abstractNumId w:val="12"/>
  </w:num>
  <w:num w:numId="7">
    <w:abstractNumId w:val="10"/>
  </w:num>
  <w:num w:numId="8">
    <w:abstractNumId w:val="5"/>
  </w:num>
  <w:num w:numId="9">
    <w:abstractNumId w:val="14"/>
  </w:num>
  <w:num w:numId="10">
    <w:abstractNumId w:val="6"/>
  </w:num>
  <w:num w:numId="11">
    <w:abstractNumId w:val="3"/>
  </w:num>
  <w:num w:numId="12">
    <w:abstractNumId w:val="1"/>
  </w:num>
  <w:num w:numId="13">
    <w:abstractNumId w:val="8"/>
  </w:num>
  <w:num w:numId="14">
    <w:abstractNumId w:val="13"/>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2MDCytDC3MLQ0MDJQ0lEKTi0uzszPAymwqAUA/pgqjCwAAAA="/>
  </w:docVars>
  <w:rsids>
    <w:rsidRoot w:val="00777226"/>
    <w:rsid w:val="000023D5"/>
    <w:rsid w:val="00004B15"/>
    <w:rsid w:val="00005A81"/>
    <w:rsid w:val="000066B9"/>
    <w:rsid w:val="00006AE8"/>
    <w:rsid w:val="0000726D"/>
    <w:rsid w:val="00007555"/>
    <w:rsid w:val="00007951"/>
    <w:rsid w:val="00007EE2"/>
    <w:rsid w:val="000106F5"/>
    <w:rsid w:val="00011604"/>
    <w:rsid w:val="000120C1"/>
    <w:rsid w:val="00012A63"/>
    <w:rsid w:val="000132B9"/>
    <w:rsid w:val="000141E3"/>
    <w:rsid w:val="00014450"/>
    <w:rsid w:val="00015CA4"/>
    <w:rsid w:val="00016CC6"/>
    <w:rsid w:val="000208AE"/>
    <w:rsid w:val="0002099B"/>
    <w:rsid w:val="0002108C"/>
    <w:rsid w:val="00021A85"/>
    <w:rsid w:val="000233C1"/>
    <w:rsid w:val="00025975"/>
    <w:rsid w:val="00026B61"/>
    <w:rsid w:val="00030623"/>
    <w:rsid w:val="0003158B"/>
    <w:rsid w:val="00032DA3"/>
    <w:rsid w:val="0003300D"/>
    <w:rsid w:val="0003338E"/>
    <w:rsid w:val="0003504A"/>
    <w:rsid w:val="00035568"/>
    <w:rsid w:val="0003707A"/>
    <w:rsid w:val="00037447"/>
    <w:rsid w:val="00037B55"/>
    <w:rsid w:val="0004009A"/>
    <w:rsid w:val="0004129A"/>
    <w:rsid w:val="00041358"/>
    <w:rsid w:val="00042DBE"/>
    <w:rsid w:val="00043C0A"/>
    <w:rsid w:val="00045EF2"/>
    <w:rsid w:val="00047161"/>
    <w:rsid w:val="00051998"/>
    <w:rsid w:val="00051B48"/>
    <w:rsid w:val="000525F4"/>
    <w:rsid w:val="00053CB8"/>
    <w:rsid w:val="00055649"/>
    <w:rsid w:val="000556AE"/>
    <w:rsid w:val="0005574B"/>
    <w:rsid w:val="000562DA"/>
    <w:rsid w:val="00057457"/>
    <w:rsid w:val="0006012F"/>
    <w:rsid w:val="0006095A"/>
    <w:rsid w:val="000628D3"/>
    <w:rsid w:val="00062FC9"/>
    <w:rsid w:val="00063782"/>
    <w:rsid w:val="0006761C"/>
    <w:rsid w:val="000713CE"/>
    <w:rsid w:val="00072222"/>
    <w:rsid w:val="00072D23"/>
    <w:rsid w:val="00073FB9"/>
    <w:rsid w:val="000768BB"/>
    <w:rsid w:val="0008058D"/>
    <w:rsid w:val="00080865"/>
    <w:rsid w:val="00081437"/>
    <w:rsid w:val="000815E6"/>
    <w:rsid w:val="00083563"/>
    <w:rsid w:val="0008393A"/>
    <w:rsid w:val="0008422D"/>
    <w:rsid w:val="00084FF4"/>
    <w:rsid w:val="00086EA5"/>
    <w:rsid w:val="00091074"/>
    <w:rsid w:val="00093D91"/>
    <w:rsid w:val="00094725"/>
    <w:rsid w:val="00094B17"/>
    <w:rsid w:val="00095AAE"/>
    <w:rsid w:val="000A0439"/>
    <w:rsid w:val="000A0F04"/>
    <w:rsid w:val="000A113B"/>
    <w:rsid w:val="000A1323"/>
    <w:rsid w:val="000A28CB"/>
    <w:rsid w:val="000A4243"/>
    <w:rsid w:val="000A42AA"/>
    <w:rsid w:val="000A58BE"/>
    <w:rsid w:val="000A5F81"/>
    <w:rsid w:val="000A7957"/>
    <w:rsid w:val="000B14D7"/>
    <w:rsid w:val="000B1880"/>
    <w:rsid w:val="000B21FC"/>
    <w:rsid w:val="000B2682"/>
    <w:rsid w:val="000B26D2"/>
    <w:rsid w:val="000B4155"/>
    <w:rsid w:val="000B4A80"/>
    <w:rsid w:val="000B4DB7"/>
    <w:rsid w:val="000B7E42"/>
    <w:rsid w:val="000C0FC9"/>
    <w:rsid w:val="000C1C7E"/>
    <w:rsid w:val="000C1D58"/>
    <w:rsid w:val="000C2377"/>
    <w:rsid w:val="000C3004"/>
    <w:rsid w:val="000C3383"/>
    <w:rsid w:val="000C3AA6"/>
    <w:rsid w:val="000C4523"/>
    <w:rsid w:val="000C7A50"/>
    <w:rsid w:val="000C7C8B"/>
    <w:rsid w:val="000D0D3B"/>
    <w:rsid w:val="000D1A58"/>
    <w:rsid w:val="000D2F71"/>
    <w:rsid w:val="000D5579"/>
    <w:rsid w:val="000D5DF7"/>
    <w:rsid w:val="000E0EC6"/>
    <w:rsid w:val="000E1A6A"/>
    <w:rsid w:val="000E2A59"/>
    <w:rsid w:val="000E561E"/>
    <w:rsid w:val="000E5810"/>
    <w:rsid w:val="000E7694"/>
    <w:rsid w:val="000F0949"/>
    <w:rsid w:val="000F17F7"/>
    <w:rsid w:val="000F23C2"/>
    <w:rsid w:val="000F534E"/>
    <w:rsid w:val="000F5950"/>
    <w:rsid w:val="000F5E6A"/>
    <w:rsid w:val="00103D9F"/>
    <w:rsid w:val="00104028"/>
    <w:rsid w:val="00105666"/>
    <w:rsid w:val="00107F03"/>
    <w:rsid w:val="00111F16"/>
    <w:rsid w:val="00111FC3"/>
    <w:rsid w:val="001126EE"/>
    <w:rsid w:val="00113081"/>
    <w:rsid w:val="0011691C"/>
    <w:rsid w:val="00116D8B"/>
    <w:rsid w:val="00120DCD"/>
    <w:rsid w:val="00122FE1"/>
    <w:rsid w:val="001238AA"/>
    <w:rsid w:val="001246CE"/>
    <w:rsid w:val="001249FA"/>
    <w:rsid w:val="00125443"/>
    <w:rsid w:val="00125AC5"/>
    <w:rsid w:val="00125E47"/>
    <w:rsid w:val="001266E5"/>
    <w:rsid w:val="00126D8C"/>
    <w:rsid w:val="00126E41"/>
    <w:rsid w:val="00130235"/>
    <w:rsid w:val="00130A8D"/>
    <w:rsid w:val="00131362"/>
    <w:rsid w:val="00131A28"/>
    <w:rsid w:val="00131DAB"/>
    <w:rsid w:val="00132604"/>
    <w:rsid w:val="00132CD9"/>
    <w:rsid w:val="0013406F"/>
    <w:rsid w:val="0013454C"/>
    <w:rsid w:val="00134625"/>
    <w:rsid w:val="00134BC5"/>
    <w:rsid w:val="00134FDB"/>
    <w:rsid w:val="001351A1"/>
    <w:rsid w:val="00137F08"/>
    <w:rsid w:val="00140CD0"/>
    <w:rsid w:val="00143140"/>
    <w:rsid w:val="00145488"/>
    <w:rsid w:val="0014632C"/>
    <w:rsid w:val="0015065C"/>
    <w:rsid w:val="001506EE"/>
    <w:rsid w:val="00150C8B"/>
    <w:rsid w:val="00151E3D"/>
    <w:rsid w:val="00153FBD"/>
    <w:rsid w:val="001546D8"/>
    <w:rsid w:val="001558FF"/>
    <w:rsid w:val="00155D8A"/>
    <w:rsid w:val="00156638"/>
    <w:rsid w:val="001600BE"/>
    <w:rsid w:val="001626D2"/>
    <w:rsid w:val="00163454"/>
    <w:rsid w:val="00165BE3"/>
    <w:rsid w:val="00166012"/>
    <w:rsid w:val="00171741"/>
    <w:rsid w:val="00171F65"/>
    <w:rsid w:val="001725A3"/>
    <w:rsid w:val="00173048"/>
    <w:rsid w:val="00173E5A"/>
    <w:rsid w:val="00174E8B"/>
    <w:rsid w:val="00175433"/>
    <w:rsid w:val="001762AD"/>
    <w:rsid w:val="00176D6A"/>
    <w:rsid w:val="00177AD4"/>
    <w:rsid w:val="00180921"/>
    <w:rsid w:val="00180A3D"/>
    <w:rsid w:val="00181744"/>
    <w:rsid w:val="00181D9D"/>
    <w:rsid w:val="001828EA"/>
    <w:rsid w:val="00182E9C"/>
    <w:rsid w:val="00183A53"/>
    <w:rsid w:val="00184387"/>
    <w:rsid w:val="00184C7B"/>
    <w:rsid w:val="0018537B"/>
    <w:rsid w:val="001855F6"/>
    <w:rsid w:val="00186177"/>
    <w:rsid w:val="00186D0F"/>
    <w:rsid w:val="001876CD"/>
    <w:rsid w:val="001901CC"/>
    <w:rsid w:val="001916E7"/>
    <w:rsid w:val="00192FFE"/>
    <w:rsid w:val="00193276"/>
    <w:rsid w:val="00193946"/>
    <w:rsid w:val="00195B7B"/>
    <w:rsid w:val="0019698A"/>
    <w:rsid w:val="00197CB4"/>
    <w:rsid w:val="00197FE7"/>
    <w:rsid w:val="001A1A13"/>
    <w:rsid w:val="001A1BEB"/>
    <w:rsid w:val="001A1F63"/>
    <w:rsid w:val="001A3773"/>
    <w:rsid w:val="001A37F2"/>
    <w:rsid w:val="001A498D"/>
    <w:rsid w:val="001A5F97"/>
    <w:rsid w:val="001A6042"/>
    <w:rsid w:val="001A670A"/>
    <w:rsid w:val="001B0280"/>
    <w:rsid w:val="001B08D0"/>
    <w:rsid w:val="001B209B"/>
    <w:rsid w:val="001B2148"/>
    <w:rsid w:val="001B21AD"/>
    <w:rsid w:val="001B2292"/>
    <w:rsid w:val="001B320B"/>
    <w:rsid w:val="001B35CC"/>
    <w:rsid w:val="001B66C2"/>
    <w:rsid w:val="001B6ECC"/>
    <w:rsid w:val="001B6FD6"/>
    <w:rsid w:val="001C0DD9"/>
    <w:rsid w:val="001C1004"/>
    <w:rsid w:val="001C11DC"/>
    <w:rsid w:val="001C2213"/>
    <w:rsid w:val="001C2A2C"/>
    <w:rsid w:val="001C31ED"/>
    <w:rsid w:val="001C3CBC"/>
    <w:rsid w:val="001C4F92"/>
    <w:rsid w:val="001C568A"/>
    <w:rsid w:val="001C5DD3"/>
    <w:rsid w:val="001C76E5"/>
    <w:rsid w:val="001D0146"/>
    <w:rsid w:val="001D1A10"/>
    <w:rsid w:val="001D1BA1"/>
    <w:rsid w:val="001D4104"/>
    <w:rsid w:val="001D62B2"/>
    <w:rsid w:val="001D63BA"/>
    <w:rsid w:val="001D68E2"/>
    <w:rsid w:val="001E1026"/>
    <w:rsid w:val="001E2E6A"/>
    <w:rsid w:val="001E5C86"/>
    <w:rsid w:val="001E5C88"/>
    <w:rsid w:val="001E6A0E"/>
    <w:rsid w:val="001E7AD9"/>
    <w:rsid w:val="001F00A7"/>
    <w:rsid w:val="001F127B"/>
    <w:rsid w:val="001F180B"/>
    <w:rsid w:val="001F19F6"/>
    <w:rsid w:val="001F57F7"/>
    <w:rsid w:val="001F59BA"/>
    <w:rsid w:val="001F59C0"/>
    <w:rsid w:val="001F67B6"/>
    <w:rsid w:val="001F6B1D"/>
    <w:rsid w:val="001F7F98"/>
    <w:rsid w:val="00204676"/>
    <w:rsid w:val="00204716"/>
    <w:rsid w:val="00205031"/>
    <w:rsid w:val="00206673"/>
    <w:rsid w:val="002069A9"/>
    <w:rsid w:val="00210749"/>
    <w:rsid w:val="002121C9"/>
    <w:rsid w:val="00212CD0"/>
    <w:rsid w:val="0021457B"/>
    <w:rsid w:val="002154D1"/>
    <w:rsid w:val="00215861"/>
    <w:rsid w:val="00216346"/>
    <w:rsid w:val="002165B9"/>
    <w:rsid w:val="002200E7"/>
    <w:rsid w:val="0022103C"/>
    <w:rsid w:val="002213EB"/>
    <w:rsid w:val="00221BAE"/>
    <w:rsid w:val="00221D19"/>
    <w:rsid w:val="0022225F"/>
    <w:rsid w:val="00222883"/>
    <w:rsid w:val="002237DD"/>
    <w:rsid w:val="00223E51"/>
    <w:rsid w:val="00226CED"/>
    <w:rsid w:val="002276BF"/>
    <w:rsid w:val="0023014C"/>
    <w:rsid w:val="00230267"/>
    <w:rsid w:val="002309BE"/>
    <w:rsid w:val="00231D60"/>
    <w:rsid w:val="00233023"/>
    <w:rsid w:val="00233E35"/>
    <w:rsid w:val="0023563E"/>
    <w:rsid w:val="00235A66"/>
    <w:rsid w:val="00236196"/>
    <w:rsid w:val="00237597"/>
    <w:rsid w:val="0023793B"/>
    <w:rsid w:val="00242544"/>
    <w:rsid w:val="0024400C"/>
    <w:rsid w:val="002445B7"/>
    <w:rsid w:val="002457AC"/>
    <w:rsid w:val="002468A3"/>
    <w:rsid w:val="00247278"/>
    <w:rsid w:val="00247619"/>
    <w:rsid w:val="00251FAE"/>
    <w:rsid w:val="002525DD"/>
    <w:rsid w:val="00252E7B"/>
    <w:rsid w:val="00252EE4"/>
    <w:rsid w:val="00253999"/>
    <w:rsid w:val="00253E2E"/>
    <w:rsid w:val="00254904"/>
    <w:rsid w:val="00254CBD"/>
    <w:rsid w:val="00254D77"/>
    <w:rsid w:val="00254DD8"/>
    <w:rsid w:val="002551A5"/>
    <w:rsid w:val="0025676E"/>
    <w:rsid w:val="002570BE"/>
    <w:rsid w:val="002578C5"/>
    <w:rsid w:val="00257944"/>
    <w:rsid w:val="00257B1C"/>
    <w:rsid w:val="00261856"/>
    <w:rsid w:val="00261AC1"/>
    <w:rsid w:val="00261D82"/>
    <w:rsid w:val="00262B61"/>
    <w:rsid w:val="00262CA7"/>
    <w:rsid w:val="00263175"/>
    <w:rsid w:val="00263D47"/>
    <w:rsid w:val="002656BC"/>
    <w:rsid w:val="002661BB"/>
    <w:rsid w:val="00267F43"/>
    <w:rsid w:val="002700C7"/>
    <w:rsid w:val="00270250"/>
    <w:rsid w:val="00271241"/>
    <w:rsid w:val="00271E67"/>
    <w:rsid w:val="00272EE2"/>
    <w:rsid w:val="00273B50"/>
    <w:rsid w:val="0027505F"/>
    <w:rsid w:val="002751A4"/>
    <w:rsid w:val="0027545D"/>
    <w:rsid w:val="00275DAD"/>
    <w:rsid w:val="00277C40"/>
    <w:rsid w:val="00277D26"/>
    <w:rsid w:val="00277F31"/>
    <w:rsid w:val="00280B9D"/>
    <w:rsid w:val="00282018"/>
    <w:rsid w:val="00284BD6"/>
    <w:rsid w:val="0028535A"/>
    <w:rsid w:val="00285898"/>
    <w:rsid w:val="0028613D"/>
    <w:rsid w:val="00286C45"/>
    <w:rsid w:val="00291320"/>
    <w:rsid w:val="00291972"/>
    <w:rsid w:val="00291E53"/>
    <w:rsid w:val="00295039"/>
    <w:rsid w:val="0029594C"/>
    <w:rsid w:val="00297593"/>
    <w:rsid w:val="002A0772"/>
    <w:rsid w:val="002A162E"/>
    <w:rsid w:val="002A37BA"/>
    <w:rsid w:val="002A3BE7"/>
    <w:rsid w:val="002A48FC"/>
    <w:rsid w:val="002A6037"/>
    <w:rsid w:val="002A628D"/>
    <w:rsid w:val="002A6C28"/>
    <w:rsid w:val="002A784C"/>
    <w:rsid w:val="002A7C1B"/>
    <w:rsid w:val="002B1CFD"/>
    <w:rsid w:val="002B25AC"/>
    <w:rsid w:val="002B25DD"/>
    <w:rsid w:val="002B4810"/>
    <w:rsid w:val="002B6266"/>
    <w:rsid w:val="002B712B"/>
    <w:rsid w:val="002B7E00"/>
    <w:rsid w:val="002C04CA"/>
    <w:rsid w:val="002C16CF"/>
    <w:rsid w:val="002C2650"/>
    <w:rsid w:val="002C5790"/>
    <w:rsid w:val="002C713F"/>
    <w:rsid w:val="002D0FF5"/>
    <w:rsid w:val="002D1827"/>
    <w:rsid w:val="002D1D54"/>
    <w:rsid w:val="002D49DB"/>
    <w:rsid w:val="002D4A3B"/>
    <w:rsid w:val="002D4F9A"/>
    <w:rsid w:val="002D6A03"/>
    <w:rsid w:val="002D6B6B"/>
    <w:rsid w:val="002D7404"/>
    <w:rsid w:val="002E07D4"/>
    <w:rsid w:val="002E389B"/>
    <w:rsid w:val="002E4C24"/>
    <w:rsid w:val="002E5F00"/>
    <w:rsid w:val="002E66C3"/>
    <w:rsid w:val="002E7DC9"/>
    <w:rsid w:val="002F0245"/>
    <w:rsid w:val="002F0B5F"/>
    <w:rsid w:val="002F0DF5"/>
    <w:rsid w:val="002F1D13"/>
    <w:rsid w:val="0030035B"/>
    <w:rsid w:val="00300C60"/>
    <w:rsid w:val="00301A7D"/>
    <w:rsid w:val="0030424C"/>
    <w:rsid w:val="0030439E"/>
    <w:rsid w:val="003059A3"/>
    <w:rsid w:val="00310CFB"/>
    <w:rsid w:val="00312439"/>
    <w:rsid w:val="00312ECE"/>
    <w:rsid w:val="0031336B"/>
    <w:rsid w:val="00315E16"/>
    <w:rsid w:val="00315F69"/>
    <w:rsid w:val="003164DD"/>
    <w:rsid w:val="0032081B"/>
    <w:rsid w:val="00320E45"/>
    <w:rsid w:val="00324C5B"/>
    <w:rsid w:val="00326460"/>
    <w:rsid w:val="00327E39"/>
    <w:rsid w:val="00327E87"/>
    <w:rsid w:val="003305E2"/>
    <w:rsid w:val="0033162B"/>
    <w:rsid w:val="00333D3D"/>
    <w:rsid w:val="00334AB7"/>
    <w:rsid w:val="003369C5"/>
    <w:rsid w:val="00336FDB"/>
    <w:rsid w:val="00340224"/>
    <w:rsid w:val="003405BA"/>
    <w:rsid w:val="003405EE"/>
    <w:rsid w:val="003406DD"/>
    <w:rsid w:val="00341071"/>
    <w:rsid w:val="00342A11"/>
    <w:rsid w:val="00342BA1"/>
    <w:rsid w:val="00343217"/>
    <w:rsid w:val="0034565D"/>
    <w:rsid w:val="00350E13"/>
    <w:rsid w:val="00351896"/>
    <w:rsid w:val="00352667"/>
    <w:rsid w:val="003529BB"/>
    <w:rsid w:val="00353A4C"/>
    <w:rsid w:val="00353B65"/>
    <w:rsid w:val="00355036"/>
    <w:rsid w:val="003550AF"/>
    <w:rsid w:val="0035523A"/>
    <w:rsid w:val="00356335"/>
    <w:rsid w:val="0036082D"/>
    <w:rsid w:val="00360C7D"/>
    <w:rsid w:val="00361C34"/>
    <w:rsid w:val="00361F59"/>
    <w:rsid w:val="00362C68"/>
    <w:rsid w:val="00364051"/>
    <w:rsid w:val="0036481A"/>
    <w:rsid w:val="00367109"/>
    <w:rsid w:val="00367D52"/>
    <w:rsid w:val="00371B8A"/>
    <w:rsid w:val="00371D42"/>
    <w:rsid w:val="003743B3"/>
    <w:rsid w:val="00374EB9"/>
    <w:rsid w:val="00375215"/>
    <w:rsid w:val="00376FBD"/>
    <w:rsid w:val="00380819"/>
    <w:rsid w:val="003809B3"/>
    <w:rsid w:val="003822E8"/>
    <w:rsid w:val="003826C1"/>
    <w:rsid w:val="00382EC3"/>
    <w:rsid w:val="00383098"/>
    <w:rsid w:val="00384B10"/>
    <w:rsid w:val="00385AC7"/>
    <w:rsid w:val="00386DF6"/>
    <w:rsid w:val="003872DF"/>
    <w:rsid w:val="00387799"/>
    <w:rsid w:val="00387A58"/>
    <w:rsid w:val="00392D96"/>
    <w:rsid w:val="00395B54"/>
    <w:rsid w:val="00395D47"/>
    <w:rsid w:val="00396274"/>
    <w:rsid w:val="003966BE"/>
    <w:rsid w:val="003A0227"/>
    <w:rsid w:val="003A21C0"/>
    <w:rsid w:val="003A2FC0"/>
    <w:rsid w:val="003A34CA"/>
    <w:rsid w:val="003A476C"/>
    <w:rsid w:val="003A6523"/>
    <w:rsid w:val="003A6E60"/>
    <w:rsid w:val="003B07DD"/>
    <w:rsid w:val="003B0AB2"/>
    <w:rsid w:val="003B1E5D"/>
    <w:rsid w:val="003B244A"/>
    <w:rsid w:val="003B4000"/>
    <w:rsid w:val="003B4094"/>
    <w:rsid w:val="003B4422"/>
    <w:rsid w:val="003B6A8B"/>
    <w:rsid w:val="003B6CAA"/>
    <w:rsid w:val="003C0E51"/>
    <w:rsid w:val="003C185B"/>
    <w:rsid w:val="003C1E3B"/>
    <w:rsid w:val="003C3E93"/>
    <w:rsid w:val="003C4CFE"/>
    <w:rsid w:val="003C61A3"/>
    <w:rsid w:val="003C7937"/>
    <w:rsid w:val="003D3433"/>
    <w:rsid w:val="003D4B8F"/>
    <w:rsid w:val="003D606D"/>
    <w:rsid w:val="003D685D"/>
    <w:rsid w:val="003E161A"/>
    <w:rsid w:val="003E1699"/>
    <w:rsid w:val="003E1DDA"/>
    <w:rsid w:val="003E2C5A"/>
    <w:rsid w:val="003E3987"/>
    <w:rsid w:val="003E60CC"/>
    <w:rsid w:val="003E6B57"/>
    <w:rsid w:val="003E7629"/>
    <w:rsid w:val="003E7EF7"/>
    <w:rsid w:val="003F104A"/>
    <w:rsid w:val="003F1279"/>
    <w:rsid w:val="003F12C5"/>
    <w:rsid w:val="003F3CBE"/>
    <w:rsid w:val="003F4A20"/>
    <w:rsid w:val="003F60A9"/>
    <w:rsid w:val="003F6A20"/>
    <w:rsid w:val="003F70A3"/>
    <w:rsid w:val="003F7D17"/>
    <w:rsid w:val="00400437"/>
    <w:rsid w:val="0040091D"/>
    <w:rsid w:val="00400CCB"/>
    <w:rsid w:val="0040137E"/>
    <w:rsid w:val="004014A5"/>
    <w:rsid w:val="00401BA7"/>
    <w:rsid w:val="00401F2D"/>
    <w:rsid w:val="00404797"/>
    <w:rsid w:val="00404D49"/>
    <w:rsid w:val="00405C82"/>
    <w:rsid w:val="00406F33"/>
    <w:rsid w:val="00410106"/>
    <w:rsid w:val="0041084F"/>
    <w:rsid w:val="00411444"/>
    <w:rsid w:val="00411F80"/>
    <w:rsid w:val="0041266D"/>
    <w:rsid w:val="004132A2"/>
    <w:rsid w:val="00413477"/>
    <w:rsid w:val="00413DA6"/>
    <w:rsid w:val="004141D8"/>
    <w:rsid w:val="004146CE"/>
    <w:rsid w:val="00414D0E"/>
    <w:rsid w:val="0042041A"/>
    <w:rsid w:val="00420EFA"/>
    <w:rsid w:val="00422BE1"/>
    <w:rsid w:val="004247CF"/>
    <w:rsid w:val="00424959"/>
    <w:rsid w:val="004255B7"/>
    <w:rsid w:val="00427064"/>
    <w:rsid w:val="00427782"/>
    <w:rsid w:val="00427A4C"/>
    <w:rsid w:val="004303E2"/>
    <w:rsid w:val="00430752"/>
    <w:rsid w:val="00430BB8"/>
    <w:rsid w:val="00430FD2"/>
    <w:rsid w:val="00431109"/>
    <w:rsid w:val="00431C2C"/>
    <w:rsid w:val="00432C82"/>
    <w:rsid w:val="004348EE"/>
    <w:rsid w:val="00434A9B"/>
    <w:rsid w:val="00435BB9"/>
    <w:rsid w:val="00441C7D"/>
    <w:rsid w:val="00443857"/>
    <w:rsid w:val="00445EBC"/>
    <w:rsid w:val="0044646E"/>
    <w:rsid w:val="00446E01"/>
    <w:rsid w:val="00447232"/>
    <w:rsid w:val="0045023A"/>
    <w:rsid w:val="004505E8"/>
    <w:rsid w:val="00450D53"/>
    <w:rsid w:val="004552E9"/>
    <w:rsid w:val="00456388"/>
    <w:rsid w:val="00456E50"/>
    <w:rsid w:val="004571F6"/>
    <w:rsid w:val="00457BC1"/>
    <w:rsid w:val="0046140B"/>
    <w:rsid w:val="0046214D"/>
    <w:rsid w:val="00464787"/>
    <w:rsid w:val="00464988"/>
    <w:rsid w:val="00465805"/>
    <w:rsid w:val="00465E6C"/>
    <w:rsid w:val="00465F7B"/>
    <w:rsid w:val="004702F8"/>
    <w:rsid w:val="004703D8"/>
    <w:rsid w:val="004703F3"/>
    <w:rsid w:val="00471C12"/>
    <w:rsid w:val="004731CC"/>
    <w:rsid w:val="00474431"/>
    <w:rsid w:val="00475AA9"/>
    <w:rsid w:val="00475C5D"/>
    <w:rsid w:val="00476326"/>
    <w:rsid w:val="00477263"/>
    <w:rsid w:val="00477BAF"/>
    <w:rsid w:val="00477EE4"/>
    <w:rsid w:val="004822C1"/>
    <w:rsid w:val="00483485"/>
    <w:rsid w:val="00483BB9"/>
    <w:rsid w:val="00484E5E"/>
    <w:rsid w:val="00484E69"/>
    <w:rsid w:val="00485DC5"/>
    <w:rsid w:val="00486E61"/>
    <w:rsid w:val="00490DBB"/>
    <w:rsid w:val="00491A4B"/>
    <w:rsid w:val="00491A5E"/>
    <w:rsid w:val="00492EF9"/>
    <w:rsid w:val="0049402F"/>
    <w:rsid w:val="00495DC7"/>
    <w:rsid w:val="0049697C"/>
    <w:rsid w:val="004969E5"/>
    <w:rsid w:val="00497D78"/>
    <w:rsid w:val="004A2257"/>
    <w:rsid w:val="004A4BCC"/>
    <w:rsid w:val="004B134A"/>
    <w:rsid w:val="004B35DC"/>
    <w:rsid w:val="004B4569"/>
    <w:rsid w:val="004B5461"/>
    <w:rsid w:val="004B61DD"/>
    <w:rsid w:val="004B7946"/>
    <w:rsid w:val="004B7D63"/>
    <w:rsid w:val="004C2BF1"/>
    <w:rsid w:val="004C522D"/>
    <w:rsid w:val="004C6129"/>
    <w:rsid w:val="004C66C4"/>
    <w:rsid w:val="004C7282"/>
    <w:rsid w:val="004C766C"/>
    <w:rsid w:val="004D0746"/>
    <w:rsid w:val="004D0B91"/>
    <w:rsid w:val="004D39BD"/>
    <w:rsid w:val="004D4292"/>
    <w:rsid w:val="004D42F9"/>
    <w:rsid w:val="004D4D5C"/>
    <w:rsid w:val="004D5806"/>
    <w:rsid w:val="004D603C"/>
    <w:rsid w:val="004D6048"/>
    <w:rsid w:val="004D615C"/>
    <w:rsid w:val="004D6952"/>
    <w:rsid w:val="004E0B6A"/>
    <w:rsid w:val="004E1810"/>
    <w:rsid w:val="004E19DA"/>
    <w:rsid w:val="004E295D"/>
    <w:rsid w:val="004E49FC"/>
    <w:rsid w:val="004E5026"/>
    <w:rsid w:val="004E5A92"/>
    <w:rsid w:val="004E5EDE"/>
    <w:rsid w:val="004E6F4D"/>
    <w:rsid w:val="004E7A30"/>
    <w:rsid w:val="004F0275"/>
    <w:rsid w:val="004F1B39"/>
    <w:rsid w:val="004F1C6C"/>
    <w:rsid w:val="004F1F4C"/>
    <w:rsid w:val="004F2708"/>
    <w:rsid w:val="004F46A8"/>
    <w:rsid w:val="004F4F4D"/>
    <w:rsid w:val="004F50D9"/>
    <w:rsid w:val="004F5A1B"/>
    <w:rsid w:val="00501C3F"/>
    <w:rsid w:val="00502447"/>
    <w:rsid w:val="00502AB8"/>
    <w:rsid w:val="00504585"/>
    <w:rsid w:val="00505A51"/>
    <w:rsid w:val="00511453"/>
    <w:rsid w:val="0051298B"/>
    <w:rsid w:val="00512F9A"/>
    <w:rsid w:val="00513E1E"/>
    <w:rsid w:val="00514471"/>
    <w:rsid w:val="00514AEA"/>
    <w:rsid w:val="00514B31"/>
    <w:rsid w:val="0051530C"/>
    <w:rsid w:val="0051546E"/>
    <w:rsid w:val="00515AC5"/>
    <w:rsid w:val="00521157"/>
    <w:rsid w:val="005250A1"/>
    <w:rsid w:val="00525188"/>
    <w:rsid w:val="005253CD"/>
    <w:rsid w:val="005254D4"/>
    <w:rsid w:val="00526D13"/>
    <w:rsid w:val="005274A9"/>
    <w:rsid w:val="00530238"/>
    <w:rsid w:val="00531FA2"/>
    <w:rsid w:val="0053401C"/>
    <w:rsid w:val="005345B8"/>
    <w:rsid w:val="00534EC7"/>
    <w:rsid w:val="00537133"/>
    <w:rsid w:val="005372AC"/>
    <w:rsid w:val="00541D18"/>
    <w:rsid w:val="005431F8"/>
    <w:rsid w:val="00544558"/>
    <w:rsid w:val="00550699"/>
    <w:rsid w:val="00552491"/>
    <w:rsid w:val="00552933"/>
    <w:rsid w:val="005538D1"/>
    <w:rsid w:val="005539AB"/>
    <w:rsid w:val="00555E4D"/>
    <w:rsid w:val="005565FC"/>
    <w:rsid w:val="0056006E"/>
    <w:rsid w:val="00560157"/>
    <w:rsid w:val="0056205D"/>
    <w:rsid w:val="005620A5"/>
    <w:rsid w:val="0056253B"/>
    <w:rsid w:val="00562EE8"/>
    <w:rsid w:val="005630EE"/>
    <w:rsid w:val="005639BC"/>
    <w:rsid w:val="00563A14"/>
    <w:rsid w:val="00563DC4"/>
    <w:rsid w:val="005642AA"/>
    <w:rsid w:val="00564F01"/>
    <w:rsid w:val="00565222"/>
    <w:rsid w:val="0056653D"/>
    <w:rsid w:val="00566F3B"/>
    <w:rsid w:val="0057064D"/>
    <w:rsid w:val="00573380"/>
    <w:rsid w:val="00574037"/>
    <w:rsid w:val="005751A5"/>
    <w:rsid w:val="0057527B"/>
    <w:rsid w:val="00575C40"/>
    <w:rsid w:val="00576ADB"/>
    <w:rsid w:val="00576DA3"/>
    <w:rsid w:val="00576FE7"/>
    <w:rsid w:val="00577B06"/>
    <w:rsid w:val="00582F62"/>
    <w:rsid w:val="0058323B"/>
    <w:rsid w:val="005855FE"/>
    <w:rsid w:val="005858B1"/>
    <w:rsid w:val="00586189"/>
    <w:rsid w:val="0059062C"/>
    <w:rsid w:val="005908F6"/>
    <w:rsid w:val="005909CC"/>
    <w:rsid w:val="00593A77"/>
    <w:rsid w:val="00596AA8"/>
    <w:rsid w:val="00597F83"/>
    <w:rsid w:val="005A03FB"/>
    <w:rsid w:val="005A1EEE"/>
    <w:rsid w:val="005A24F5"/>
    <w:rsid w:val="005A2AA4"/>
    <w:rsid w:val="005A3E15"/>
    <w:rsid w:val="005A43F1"/>
    <w:rsid w:val="005A448D"/>
    <w:rsid w:val="005A479C"/>
    <w:rsid w:val="005A4E26"/>
    <w:rsid w:val="005A556D"/>
    <w:rsid w:val="005A5E6C"/>
    <w:rsid w:val="005B1C2A"/>
    <w:rsid w:val="005B24F6"/>
    <w:rsid w:val="005B2E75"/>
    <w:rsid w:val="005B34CB"/>
    <w:rsid w:val="005B5162"/>
    <w:rsid w:val="005B6012"/>
    <w:rsid w:val="005B6687"/>
    <w:rsid w:val="005B6CB5"/>
    <w:rsid w:val="005B6F33"/>
    <w:rsid w:val="005C01D4"/>
    <w:rsid w:val="005C0B90"/>
    <w:rsid w:val="005C1450"/>
    <w:rsid w:val="005C1809"/>
    <w:rsid w:val="005C2E2F"/>
    <w:rsid w:val="005C3C75"/>
    <w:rsid w:val="005C3E1D"/>
    <w:rsid w:val="005C526F"/>
    <w:rsid w:val="005C6221"/>
    <w:rsid w:val="005C63EE"/>
    <w:rsid w:val="005C6D64"/>
    <w:rsid w:val="005C778C"/>
    <w:rsid w:val="005C7951"/>
    <w:rsid w:val="005D12EE"/>
    <w:rsid w:val="005D12F1"/>
    <w:rsid w:val="005D3733"/>
    <w:rsid w:val="005D4410"/>
    <w:rsid w:val="005D452F"/>
    <w:rsid w:val="005D535F"/>
    <w:rsid w:val="005D64D7"/>
    <w:rsid w:val="005D793D"/>
    <w:rsid w:val="005E1C7C"/>
    <w:rsid w:val="005E1CCC"/>
    <w:rsid w:val="005E3264"/>
    <w:rsid w:val="005E3BAA"/>
    <w:rsid w:val="005E7785"/>
    <w:rsid w:val="005F06B5"/>
    <w:rsid w:val="005F0A74"/>
    <w:rsid w:val="005F2CED"/>
    <w:rsid w:val="005F79D1"/>
    <w:rsid w:val="00600001"/>
    <w:rsid w:val="00601720"/>
    <w:rsid w:val="006038BC"/>
    <w:rsid w:val="00603DB1"/>
    <w:rsid w:val="00604522"/>
    <w:rsid w:val="00607551"/>
    <w:rsid w:val="00607573"/>
    <w:rsid w:val="0060771F"/>
    <w:rsid w:val="00610C7B"/>
    <w:rsid w:val="0061120C"/>
    <w:rsid w:val="00611B4D"/>
    <w:rsid w:val="00614898"/>
    <w:rsid w:val="0061504F"/>
    <w:rsid w:val="00615445"/>
    <w:rsid w:val="00616804"/>
    <w:rsid w:val="006170F1"/>
    <w:rsid w:val="006177E1"/>
    <w:rsid w:val="00620FF3"/>
    <w:rsid w:val="00622D7D"/>
    <w:rsid w:val="00623EFD"/>
    <w:rsid w:val="006251D1"/>
    <w:rsid w:val="0063129D"/>
    <w:rsid w:val="0063222B"/>
    <w:rsid w:val="00633E34"/>
    <w:rsid w:val="006344DB"/>
    <w:rsid w:val="00634A4D"/>
    <w:rsid w:val="00635D84"/>
    <w:rsid w:val="00636C24"/>
    <w:rsid w:val="006370F5"/>
    <w:rsid w:val="006431D4"/>
    <w:rsid w:val="006440D8"/>
    <w:rsid w:val="006449B8"/>
    <w:rsid w:val="00645016"/>
    <w:rsid w:val="00645BA6"/>
    <w:rsid w:val="0065015E"/>
    <w:rsid w:val="00652027"/>
    <w:rsid w:val="006535D6"/>
    <w:rsid w:val="0065402B"/>
    <w:rsid w:val="0065543A"/>
    <w:rsid w:val="006566D7"/>
    <w:rsid w:val="00656EED"/>
    <w:rsid w:val="006571A8"/>
    <w:rsid w:val="00657505"/>
    <w:rsid w:val="006604F7"/>
    <w:rsid w:val="0066089E"/>
    <w:rsid w:val="00660A17"/>
    <w:rsid w:val="00660E2E"/>
    <w:rsid w:val="00660E7C"/>
    <w:rsid w:val="00662CD9"/>
    <w:rsid w:val="00662F75"/>
    <w:rsid w:val="00663B17"/>
    <w:rsid w:val="00666B8A"/>
    <w:rsid w:val="00667304"/>
    <w:rsid w:val="00670787"/>
    <w:rsid w:val="006707DD"/>
    <w:rsid w:val="00670A41"/>
    <w:rsid w:val="00670D4F"/>
    <w:rsid w:val="00670FB0"/>
    <w:rsid w:val="006741C6"/>
    <w:rsid w:val="00674794"/>
    <w:rsid w:val="0067563A"/>
    <w:rsid w:val="00675982"/>
    <w:rsid w:val="006769AD"/>
    <w:rsid w:val="00677045"/>
    <w:rsid w:val="00677661"/>
    <w:rsid w:val="00681131"/>
    <w:rsid w:val="00681CF8"/>
    <w:rsid w:val="0068246A"/>
    <w:rsid w:val="00683094"/>
    <w:rsid w:val="00683A9F"/>
    <w:rsid w:val="0068454E"/>
    <w:rsid w:val="006878C2"/>
    <w:rsid w:val="006921C7"/>
    <w:rsid w:val="00694626"/>
    <w:rsid w:val="00697203"/>
    <w:rsid w:val="006A018C"/>
    <w:rsid w:val="006A06D9"/>
    <w:rsid w:val="006A0D1C"/>
    <w:rsid w:val="006A1358"/>
    <w:rsid w:val="006A21C3"/>
    <w:rsid w:val="006A3F27"/>
    <w:rsid w:val="006A5300"/>
    <w:rsid w:val="006A732A"/>
    <w:rsid w:val="006B0496"/>
    <w:rsid w:val="006B1957"/>
    <w:rsid w:val="006B19A5"/>
    <w:rsid w:val="006B3527"/>
    <w:rsid w:val="006B46B4"/>
    <w:rsid w:val="006C2AE2"/>
    <w:rsid w:val="006C3F5F"/>
    <w:rsid w:val="006C53C7"/>
    <w:rsid w:val="006C5A34"/>
    <w:rsid w:val="006C6602"/>
    <w:rsid w:val="006C68DA"/>
    <w:rsid w:val="006C6E08"/>
    <w:rsid w:val="006D0583"/>
    <w:rsid w:val="006D0920"/>
    <w:rsid w:val="006D0B03"/>
    <w:rsid w:val="006D17A7"/>
    <w:rsid w:val="006D184D"/>
    <w:rsid w:val="006D1BC4"/>
    <w:rsid w:val="006D1E7A"/>
    <w:rsid w:val="006D2465"/>
    <w:rsid w:val="006D3028"/>
    <w:rsid w:val="006D439F"/>
    <w:rsid w:val="006D4920"/>
    <w:rsid w:val="006D4C44"/>
    <w:rsid w:val="006D694D"/>
    <w:rsid w:val="006D7280"/>
    <w:rsid w:val="006D7F57"/>
    <w:rsid w:val="006E2534"/>
    <w:rsid w:val="006E487B"/>
    <w:rsid w:val="006E4A85"/>
    <w:rsid w:val="006E4D5A"/>
    <w:rsid w:val="006E643F"/>
    <w:rsid w:val="006E6A9A"/>
    <w:rsid w:val="006E7358"/>
    <w:rsid w:val="006F23E2"/>
    <w:rsid w:val="006F2780"/>
    <w:rsid w:val="006F2990"/>
    <w:rsid w:val="006F30E3"/>
    <w:rsid w:val="006F37E9"/>
    <w:rsid w:val="006F43B0"/>
    <w:rsid w:val="006F4D1A"/>
    <w:rsid w:val="006F68BD"/>
    <w:rsid w:val="006F6C0D"/>
    <w:rsid w:val="007003F4"/>
    <w:rsid w:val="00702F03"/>
    <w:rsid w:val="007034C3"/>
    <w:rsid w:val="00706EDC"/>
    <w:rsid w:val="00707121"/>
    <w:rsid w:val="007077CF"/>
    <w:rsid w:val="00707C93"/>
    <w:rsid w:val="00707E27"/>
    <w:rsid w:val="007112F1"/>
    <w:rsid w:val="00711584"/>
    <w:rsid w:val="007134A5"/>
    <w:rsid w:val="00714A24"/>
    <w:rsid w:val="00715A5A"/>
    <w:rsid w:val="00715AA4"/>
    <w:rsid w:val="00715D09"/>
    <w:rsid w:val="00716A47"/>
    <w:rsid w:val="00721219"/>
    <w:rsid w:val="00721F27"/>
    <w:rsid w:val="00722800"/>
    <w:rsid w:val="00725739"/>
    <w:rsid w:val="00726A88"/>
    <w:rsid w:val="0072728F"/>
    <w:rsid w:val="00733669"/>
    <w:rsid w:val="007337D8"/>
    <w:rsid w:val="0073584C"/>
    <w:rsid w:val="007362FA"/>
    <w:rsid w:val="00736AFB"/>
    <w:rsid w:val="0073743E"/>
    <w:rsid w:val="007401B7"/>
    <w:rsid w:val="00740E50"/>
    <w:rsid w:val="00743290"/>
    <w:rsid w:val="00745450"/>
    <w:rsid w:val="007454AA"/>
    <w:rsid w:val="0074631E"/>
    <w:rsid w:val="00746B55"/>
    <w:rsid w:val="00746EF4"/>
    <w:rsid w:val="007532EF"/>
    <w:rsid w:val="00756F4E"/>
    <w:rsid w:val="00757C35"/>
    <w:rsid w:val="0076112E"/>
    <w:rsid w:val="007617C1"/>
    <w:rsid w:val="00761DDF"/>
    <w:rsid w:val="00763FE5"/>
    <w:rsid w:val="00765190"/>
    <w:rsid w:val="0076550A"/>
    <w:rsid w:val="00765A5E"/>
    <w:rsid w:val="00765F66"/>
    <w:rsid w:val="00766B34"/>
    <w:rsid w:val="00767CBB"/>
    <w:rsid w:val="00772164"/>
    <w:rsid w:val="00772270"/>
    <w:rsid w:val="00772665"/>
    <w:rsid w:val="00773A0F"/>
    <w:rsid w:val="00773B3A"/>
    <w:rsid w:val="00775195"/>
    <w:rsid w:val="007754F5"/>
    <w:rsid w:val="007755A9"/>
    <w:rsid w:val="007756CF"/>
    <w:rsid w:val="00776D86"/>
    <w:rsid w:val="00777226"/>
    <w:rsid w:val="007777F5"/>
    <w:rsid w:val="00781524"/>
    <w:rsid w:val="00781E88"/>
    <w:rsid w:val="00781FD7"/>
    <w:rsid w:val="00782A62"/>
    <w:rsid w:val="00783D26"/>
    <w:rsid w:val="007849EA"/>
    <w:rsid w:val="00785FEC"/>
    <w:rsid w:val="007928BD"/>
    <w:rsid w:val="00794719"/>
    <w:rsid w:val="00794F76"/>
    <w:rsid w:val="00797967"/>
    <w:rsid w:val="00797CFB"/>
    <w:rsid w:val="007A1B35"/>
    <w:rsid w:val="007A1C61"/>
    <w:rsid w:val="007A257C"/>
    <w:rsid w:val="007A4094"/>
    <w:rsid w:val="007A4750"/>
    <w:rsid w:val="007A690C"/>
    <w:rsid w:val="007A7A9D"/>
    <w:rsid w:val="007A7C50"/>
    <w:rsid w:val="007B2B79"/>
    <w:rsid w:val="007B3043"/>
    <w:rsid w:val="007B3DA2"/>
    <w:rsid w:val="007B5CDB"/>
    <w:rsid w:val="007C07E2"/>
    <w:rsid w:val="007C0ED2"/>
    <w:rsid w:val="007C1207"/>
    <w:rsid w:val="007C1ACD"/>
    <w:rsid w:val="007C1BF7"/>
    <w:rsid w:val="007C20B3"/>
    <w:rsid w:val="007C3364"/>
    <w:rsid w:val="007C5A89"/>
    <w:rsid w:val="007C60F7"/>
    <w:rsid w:val="007C7935"/>
    <w:rsid w:val="007D0A06"/>
    <w:rsid w:val="007D0B41"/>
    <w:rsid w:val="007D3225"/>
    <w:rsid w:val="007D3DF7"/>
    <w:rsid w:val="007D4611"/>
    <w:rsid w:val="007D5552"/>
    <w:rsid w:val="007D7960"/>
    <w:rsid w:val="007D7CCE"/>
    <w:rsid w:val="007E0B5F"/>
    <w:rsid w:val="007E0E72"/>
    <w:rsid w:val="007E1BD0"/>
    <w:rsid w:val="007E3E1A"/>
    <w:rsid w:val="007E5711"/>
    <w:rsid w:val="007F2D0F"/>
    <w:rsid w:val="007F411F"/>
    <w:rsid w:val="007F41F1"/>
    <w:rsid w:val="007F4F71"/>
    <w:rsid w:val="007F54CB"/>
    <w:rsid w:val="007F666F"/>
    <w:rsid w:val="007F77D7"/>
    <w:rsid w:val="0080095A"/>
    <w:rsid w:val="0080172D"/>
    <w:rsid w:val="008041F9"/>
    <w:rsid w:val="00804EC3"/>
    <w:rsid w:val="00805D78"/>
    <w:rsid w:val="008063B9"/>
    <w:rsid w:val="00807C6B"/>
    <w:rsid w:val="008100F2"/>
    <w:rsid w:val="00810393"/>
    <w:rsid w:val="008146B5"/>
    <w:rsid w:val="00815F2F"/>
    <w:rsid w:val="0081669E"/>
    <w:rsid w:val="0082114D"/>
    <w:rsid w:val="00824FC4"/>
    <w:rsid w:val="00827B3C"/>
    <w:rsid w:val="008319A1"/>
    <w:rsid w:val="008324E7"/>
    <w:rsid w:val="0083343C"/>
    <w:rsid w:val="00833ABB"/>
    <w:rsid w:val="00834080"/>
    <w:rsid w:val="00834419"/>
    <w:rsid w:val="00836735"/>
    <w:rsid w:val="00843BA9"/>
    <w:rsid w:val="00844768"/>
    <w:rsid w:val="00846F06"/>
    <w:rsid w:val="0085017B"/>
    <w:rsid w:val="00850FC5"/>
    <w:rsid w:val="00851684"/>
    <w:rsid w:val="00855B7C"/>
    <w:rsid w:val="00860ED3"/>
    <w:rsid w:val="008624DD"/>
    <w:rsid w:val="008632F1"/>
    <w:rsid w:val="00864053"/>
    <w:rsid w:val="008668F3"/>
    <w:rsid w:val="0086703E"/>
    <w:rsid w:val="008677DD"/>
    <w:rsid w:val="0087035B"/>
    <w:rsid w:val="00870A02"/>
    <w:rsid w:val="00875764"/>
    <w:rsid w:val="00875AA9"/>
    <w:rsid w:val="00875B0F"/>
    <w:rsid w:val="00876C08"/>
    <w:rsid w:val="00880510"/>
    <w:rsid w:val="008831A3"/>
    <w:rsid w:val="00885247"/>
    <w:rsid w:val="00886047"/>
    <w:rsid w:val="00886DCB"/>
    <w:rsid w:val="008903D8"/>
    <w:rsid w:val="008904FF"/>
    <w:rsid w:val="0089062A"/>
    <w:rsid w:val="00890CFD"/>
    <w:rsid w:val="00891881"/>
    <w:rsid w:val="00891C54"/>
    <w:rsid w:val="00891DAC"/>
    <w:rsid w:val="008964CB"/>
    <w:rsid w:val="008968B6"/>
    <w:rsid w:val="00896EC7"/>
    <w:rsid w:val="00897B59"/>
    <w:rsid w:val="008A07EA"/>
    <w:rsid w:val="008A0C6C"/>
    <w:rsid w:val="008A118A"/>
    <w:rsid w:val="008A1A84"/>
    <w:rsid w:val="008A1DBF"/>
    <w:rsid w:val="008A33B6"/>
    <w:rsid w:val="008A435D"/>
    <w:rsid w:val="008A491E"/>
    <w:rsid w:val="008A56FE"/>
    <w:rsid w:val="008A68DC"/>
    <w:rsid w:val="008A6B2F"/>
    <w:rsid w:val="008A79B7"/>
    <w:rsid w:val="008A7D38"/>
    <w:rsid w:val="008B2C98"/>
    <w:rsid w:val="008B4A6E"/>
    <w:rsid w:val="008B4DF4"/>
    <w:rsid w:val="008B6F66"/>
    <w:rsid w:val="008B7602"/>
    <w:rsid w:val="008C0C87"/>
    <w:rsid w:val="008C0FD4"/>
    <w:rsid w:val="008C1813"/>
    <w:rsid w:val="008C2777"/>
    <w:rsid w:val="008C3348"/>
    <w:rsid w:val="008C4343"/>
    <w:rsid w:val="008C4846"/>
    <w:rsid w:val="008C5581"/>
    <w:rsid w:val="008C62B7"/>
    <w:rsid w:val="008C76FB"/>
    <w:rsid w:val="008D01D4"/>
    <w:rsid w:val="008D0899"/>
    <w:rsid w:val="008D1B8A"/>
    <w:rsid w:val="008D2C11"/>
    <w:rsid w:val="008D4BDA"/>
    <w:rsid w:val="008D537C"/>
    <w:rsid w:val="008D6256"/>
    <w:rsid w:val="008D6A12"/>
    <w:rsid w:val="008D7C3B"/>
    <w:rsid w:val="008E0816"/>
    <w:rsid w:val="008E099C"/>
    <w:rsid w:val="008E13A4"/>
    <w:rsid w:val="008E2D6A"/>
    <w:rsid w:val="008E2EE5"/>
    <w:rsid w:val="008E2FEF"/>
    <w:rsid w:val="008E4FD5"/>
    <w:rsid w:val="008E6801"/>
    <w:rsid w:val="008E6A7B"/>
    <w:rsid w:val="008E6C6F"/>
    <w:rsid w:val="008E74C0"/>
    <w:rsid w:val="008F36AE"/>
    <w:rsid w:val="008F5FD9"/>
    <w:rsid w:val="008F6768"/>
    <w:rsid w:val="0090028F"/>
    <w:rsid w:val="00901231"/>
    <w:rsid w:val="0090306C"/>
    <w:rsid w:val="00903156"/>
    <w:rsid w:val="00904FF0"/>
    <w:rsid w:val="009054B5"/>
    <w:rsid w:val="009076F9"/>
    <w:rsid w:val="00911FEB"/>
    <w:rsid w:val="00914C61"/>
    <w:rsid w:val="009162BF"/>
    <w:rsid w:val="00917EE6"/>
    <w:rsid w:val="0092092D"/>
    <w:rsid w:val="0092109B"/>
    <w:rsid w:val="0092239C"/>
    <w:rsid w:val="00930372"/>
    <w:rsid w:val="00930ED4"/>
    <w:rsid w:val="009312C0"/>
    <w:rsid w:val="009314DF"/>
    <w:rsid w:val="00932864"/>
    <w:rsid w:val="009329CA"/>
    <w:rsid w:val="009332E2"/>
    <w:rsid w:val="00935FCC"/>
    <w:rsid w:val="00936F89"/>
    <w:rsid w:val="00937277"/>
    <w:rsid w:val="009408C1"/>
    <w:rsid w:val="00940B66"/>
    <w:rsid w:val="00941EB9"/>
    <w:rsid w:val="00942005"/>
    <w:rsid w:val="00943871"/>
    <w:rsid w:val="0094408B"/>
    <w:rsid w:val="00944164"/>
    <w:rsid w:val="0094446A"/>
    <w:rsid w:val="00944668"/>
    <w:rsid w:val="00944904"/>
    <w:rsid w:val="009451BC"/>
    <w:rsid w:val="00945742"/>
    <w:rsid w:val="00950375"/>
    <w:rsid w:val="009507A1"/>
    <w:rsid w:val="00950ED4"/>
    <w:rsid w:val="00950F68"/>
    <w:rsid w:val="00951466"/>
    <w:rsid w:val="0095165C"/>
    <w:rsid w:val="0095445D"/>
    <w:rsid w:val="00954835"/>
    <w:rsid w:val="00954ADE"/>
    <w:rsid w:val="00954B99"/>
    <w:rsid w:val="009558D5"/>
    <w:rsid w:val="00955AE3"/>
    <w:rsid w:val="0095731B"/>
    <w:rsid w:val="009600BA"/>
    <w:rsid w:val="00961D60"/>
    <w:rsid w:val="00961F34"/>
    <w:rsid w:val="00962A27"/>
    <w:rsid w:val="00962C1E"/>
    <w:rsid w:val="00962C5D"/>
    <w:rsid w:val="0096363F"/>
    <w:rsid w:val="00964B11"/>
    <w:rsid w:val="00964E6D"/>
    <w:rsid w:val="00965C02"/>
    <w:rsid w:val="00966B84"/>
    <w:rsid w:val="00967D92"/>
    <w:rsid w:val="009720DA"/>
    <w:rsid w:val="00973496"/>
    <w:rsid w:val="00974CD8"/>
    <w:rsid w:val="00976F35"/>
    <w:rsid w:val="009800F3"/>
    <w:rsid w:val="00980BF7"/>
    <w:rsid w:val="00981540"/>
    <w:rsid w:val="00986577"/>
    <w:rsid w:val="0098756F"/>
    <w:rsid w:val="00987849"/>
    <w:rsid w:val="00987912"/>
    <w:rsid w:val="00987A0E"/>
    <w:rsid w:val="00990D40"/>
    <w:rsid w:val="00990FF0"/>
    <w:rsid w:val="00993218"/>
    <w:rsid w:val="00995AE7"/>
    <w:rsid w:val="00995D86"/>
    <w:rsid w:val="00995F0B"/>
    <w:rsid w:val="0099624E"/>
    <w:rsid w:val="009965B3"/>
    <w:rsid w:val="00996D54"/>
    <w:rsid w:val="009978EB"/>
    <w:rsid w:val="00997D46"/>
    <w:rsid w:val="009A02A9"/>
    <w:rsid w:val="009A02D1"/>
    <w:rsid w:val="009A140F"/>
    <w:rsid w:val="009A2390"/>
    <w:rsid w:val="009A3257"/>
    <w:rsid w:val="009A4A75"/>
    <w:rsid w:val="009A5F85"/>
    <w:rsid w:val="009A77DA"/>
    <w:rsid w:val="009A7839"/>
    <w:rsid w:val="009A7D73"/>
    <w:rsid w:val="009B1A30"/>
    <w:rsid w:val="009B2ED2"/>
    <w:rsid w:val="009B38FD"/>
    <w:rsid w:val="009B4238"/>
    <w:rsid w:val="009B55D6"/>
    <w:rsid w:val="009B5AD1"/>
    <w:rsid w:val="009B7711"/>
    <w:rsid w:val="009B7EAE"/>
    <w:rsid w:val="009B7F86"/>
    <w:rsid w:val="009C0909"/>
    <w:rsid w:val="009C1B96"/>
    <w:rsid w:val="009C1FDB"/>
    <w:rsid w:val="009C20C5"/>
    <w:rsid w:val="009C3210"/>
    <w:rsid w:val="009C434B"/>
    <w:rsid w:val="009C5856"/>
    <w:rsid w:val="009C6342"/>
    <w:rsid w:val="009C687A"/>
    <w:rsid w:val="009D1821"/>
    <w:rsid w:val="009D2AD9"/>
    <w:rsid w:val="009D3CDC"/>
    <w:rsid w:val="009D3E98"/>
    <w:rsid w:val="009D4C0A"/>
    <w:rsid w:val="009D4D6F"/>
    <w:rsid w:val="009D4DDD"/>
    <w:rsid w:val="009D56DD"/>
    <w:rsid w:val="009D7529"/>
    <w:rsid w:val="009E0A4E"/>
    <w:rsid w:val="009E257B"/>
    <w:rsid w:val="009E5D27"/>
    <w:rsid w:val="009E6BC6"/>
    <w:rsid w:val="009E7152"/>
    <w:rsid w:val="009E7FF9"/>
    <w:rsid w:val="009F091F"/>
    <w:rsid w:val="009F2219"/>
    <w:rsid w:val="009F2B27"/>
    <w:rsid w:val="009F306B"/>
    <w:rsid w:val="009F313A"/>
    <w:rsid w:val="009F363B"/>
    <w:rsid w:val="009F3913"/>
    <w:rsid w:val="009F6590"/>
    <w:rsid w:val="009F6886"/>
    <w:rsid w:val="009F6BE4"/>
    <w:rsid w:val="00A00FE2"/>
    <w:rsid w:val="00A01CFF"/>
    <w:rsid w:val="00A03026"/>
    <w:rsid w:val="00A0325F"/>
    <w:rsid w:val="00A04F2A"/>
    <w:rsid w:val="00A05419"/>
    <w:rsid w:val="00A05FD0"/>
    <w:rsid w:val="00A06DA5"/>
    <w:rsid w:val="00A110BA"/>
    <w:rsid w:val="00A1302B"/>
    <w:rsid w:val="00A1480B"/>
    <w:rsid w:val="00A14D52"/>
    <w:rsid w:val="00A161B9"/>
    <w:rsid w:val="00A20B24"/>
    <w:rsid w:val="00A21096"/>
    <w:rsid w:val="00A21F8C"/>
    <w:rsid w:val="00A23316"/>
    <w:rsid w:val="00A2362B"/>
    <w:rsid w:val="00A239BC"/>
    <w:rsid w:val="00A23CE1"/>
    <w:rsid w:val="00A250C6"/>
    <w:rsid w:val="00A26921"/>
    <w:rsid w:val="00A27A31"/>
    <w:rsid w:val="00A27B59"/>
    <w:rsid w:val="00A30443"/>
    <w:rsid w:val="00A30CAE"/>
    <w:rsid w:val="00A32D8C"/>
    <w:rsid w:val="00A33353"/>
    <w:rsid w:val="00A33625"/>
    <w:rsid w:val="00A3489F"/>
    <w:rsid w:val="00A3531B"/>
    <w:rsid w:val="00A369FA"/>
    <w:rsid w:val="00A36C95"/>
    <w:rsid w:val="00A3727D"/>
    <w:rsid w:val="00A40B92"/>
    <w:rsid w:val="00A413A1"/>
    <w:rsid w:val="00A413D5"/>
    <w:rsid w:val="00A41A03"/>
    <w:rsid w:val="00A42178"/>
    <w:rsid w:val="00A43D78"/>
    <w:rsid w:val="00A43F45"/>
    <w:rsid w:val="00A44604"/>
    <w:rsid w:val="00A44AC6"/>
    <w:rsid w:val="00A50803"/>
    <w:rsid w:val="00A51305"/>
    <w:rsid w:val="00A522FB"/>
    <w:rsid w:val="00A5381C"/>
    <w:rsid w:val="00A53832"/>
    <w:rsid w:val="00A62441"/>
    <w:rsid w:val="00A63F03"/>
    <w:rsid w:val="00A67B3C"/>
    <w:rsid w:val="00A67C9A"/>
    <w:rsid w:val="00A75EEC"/>
    <w:rsid w:val="00A7722C"/>
    <w:rsid w:val="00A813E7"/>
    <w:rsid w:val="00A81CCB"/>
    <w:rsid w:val="00A83E70"/>
    <w:rsid w:val="00A8457B"/>
    <w:rsid w:val="00A84BD7"/>
    <w:rsid w:val="00A84F6B"/>
    <w:rsid w:val="00A86337"/>
    <w:rsid w:val="00A868B0"/>
    <w:rsid w:val="00A86B1A"/>
    <w:rsid w:val="00A86C44"/>
    <w:rsid w:val="00A87754"/>
    <w:rsid w:val="00A9032A"/>
    <w:rsid w:val="00A913C6"/>
    <w:rsid w:val="00A9222C"/>
    <w:rsid w:val="00A92F8B"/>
    <w:rsid w:val="00A92FE9"/>
    <w:rsid w:val="00A93F3C"/>
    <w:rsid w:val="00A9448D"/>
    <w:rsid w:val="00A949CB"/>
    <w:rsid w:val="00A95979"/>
    <w:rsid w:val="00AA0287"/>
    <w:rsid w:val="00AA3DAA"/>
    <w:rsid w:val="00AA597C"/>
    <w:rsid w:val="00AA612C"/>
    <w:rsid w:val="00AA6909"/>
    <w:rsid w:val="00AB0476"/>
    <w:rsid w:val="00AB08BE"/>
    <w:rsid w:val="00AB3B67"/>
    <w:rsid w:val="00AB4A65"/>
    <w:rsid w:val="00AB7C63"/>
    <w:rsid w:val="00AC09CC"/>
    <w:rsid w:val="00AC139F"/>
    <w:rsid w:val="00AC3091"/>
    <w:rsid w:val="00AC37CE"/>
    <w:rsid w:val="00AC532F"/>
    <w:rsid w:val="00AC534C"/>
    <w:rsid w:val="00AC6514"/>
    <w:rsid w:val="00AC6CC5"/>
    <w:rsid w:val="00AD1A6C"/>
    <w:rsid w:val="00AD2165"/>
    <w:rsid w:val="00AD29E2"/>
    <w:rsid w:val="00AD3174"/>
    <w:rsid w:val="00AD4EED"/>
    <w:rsid w:val="00AD52A3"/>
    <w:rsid w:val="00AD6008"/>
    <w:rsid w:val="00AE14B4"/>
    <w:rsid w:val="00AE2776"/>
    <w:rsid w:val="00AE2E52"/>
    <w:rsid w:val="00AE433F"/>
    <w:rsid w:val="00AF0813"/>
    <w:rsid w:val="00AF13D7"/>
    <w:rsid w:val="00AF1A9D"/>
    <w:rsid w:val="00AF1ED2"/>
    <w:rsid w:val="00AF38EC"/>
    <w:rsid w:val="00AF5A08"/>
    <w:rsid w:val="00AF6016"/>
    <w:rsid w:val="00AF6B2C"/>
    <w:rsid w:val="00B02CFB"/>
    <w:rsid w:val="00B0590F"/>
    <w:rsid w:val="00B076B3"/>
    <w:rsid w:val="00B11AD1"/>
    <w:rsid w:val="00B12148"/>
    <w:rsid w:val="00B131EF"/>
    <w:rsid w:val="00B13A6D"/>
    <w:rsid w:val="00B14E44"/>
    <w:rsid w:val="00B15152"/>
    <w:rsid w:val="00B16654"/>
    <w:rsid w:val="00B16AF0"/>
    <w:rsid w:val="00B16F45"/>
    <w:rsid w:val="00B17D22"/>
    <w:rsid w:val="00B17D43"/>
    <w:rsid w:val="00B20032"/>
    <w:rsid w:val="00B202B0"/>
    <w:rsid w:val="00B204E5"/>
    <w:rsid w:val="00B22651"/>
    <w:rsid w:val="00B246ED"/>
    <w:rsid w:val="00B2539A"/>
    <w:rsid w:val="00B25FFD"/>
    <w:rsid w:val="00B26225"/>
    <w:rsid w:val="00B3291F"/>
    <w:rsid w:val="00B32A4F"/>
    <w:rsid w:val="00B32E44"/>
    <w:rsid w:val="00B33502"/>
    <w:rsid w:val="00B34670"/>
    <w:rsid w:val="00B360C0"/>
    <w:rsid w:val="00B3763F"/>
    <w:rsid w:val="00B379FB"/>
    <w:rsid w:val="00B409C0"/>
    <w:rsid w:val="00B41600"/>
    <w:rsid w:val="00B41D92"/>
    <w:rsid w:val="00B421F3"/>
    <w:rsid w:val="00B4325D"/>
    <w:rsid w:val="00B43D23"/>
    <w:rsid w:val="00B44AE6"/>
    <w:rsid w:val="00B45B4B"/>
    <w:rsid w:val="00B45BA4"/>
    <w:rsid w:val="00B47E86"/>
    <w:rsid w:val="00B508BA"/>
    <w:rsid w:val="00B510BC"/>
    <w:rsid w:val="00B518E1"/>
    <w:rsid w:val="00B51EC0"/>
    <w:rsid w:val="00B52758"/>
    <w:rsid w:val="00B52D2F"/>
    <w:rsid w:val="00B53488"/>
    <w:rsid w:val="00B53966"/>
    <w:rsid w:val="00B549CB"/>
    <w:rsid w:val="00B56BD0"/>
    <w:rsid w:val="00B570E4"/>
    <w:rsid w:val="00B627DF"/>
    <w:rsid w:val="00B6288D"/>
    <w:rsid w:val="00B63E17"/>
    <w:rsid w:val="00B64EC5"/>
    <w:rsid w:val="00B654A3"/>
    <w:rsid w:val="00B66070"/>
    <w:rsid w:val="00B66146"/>
    <w:rsid w:val="00B6768F"/>
    <w:rsid w:val="00B716D6"/>
    <w:rsid w:val="00B727E3"/>
    <w:rsid w:val="00B73608"/>
    <w:rsid w:val="00B7467E"/>
    <w:rsid w:val="00B75298"/>
    <w:rsid w:val="00B760D1"/>
    <w:rsid w:val="00B768B5"/>
    <w:rsid w:val="00B76D78"/>
    <w:rsid w:val="00B77504"/>
    <w:rsid w:val="00B8107F"/>
    <w:rsid w:val="00B821E5"/>
    <w:rsid w:val="00B834B5"/>
    <w:rsid w:val="00B842C5"/>
    <w:rsid w:val="00B86E8C"/>
    <w:rsid w:val="00B90A37"/>
    <w:rsid w:val="00B90B68"/>
    <w:rsid w:val="00B92F07"/>
    <w:rsid w:val="00B9465D"/>
    <w:rsid w:val="00B95619"/>
    <w:rsid w:val="00B97960"/>
    <w:rsid w:val="00B97BE5"/>
    <w:rsid w:val="00BA0A82"/>
    <w:rsid w:val="00BA0FAA"/>
    <w:rsid w:val="00BA1A2F"/>
    <w:rsid w:val="00BA1C0C"/>
    <w:rsid w:val="00BA2D0B"/>
    <w:rsid w:val="00BA4A13"/>
    <w:rsid w:val="00BA561A"/>
    <w:rsid w:val="00BA5F0B"/>
    <w:rsid w:val="00BA6196"/>
    <w:rsid w:val="00BA7031"/>
    <w:rsid w:val="00BA749D"/>
    <w:rsid w:val="00BB01CB"/>
    <w:rsid w:val="00BB1015"/>
    <w:rsid w:val="00BB2339"/>
    <w:rsid w:val="00BB2412"/>
    <w:rsid w:val="00BB2958"/>
    <w:rsid w:val="00BB2FAB"/>
    <w:rsid w:val="00BB341F"/>
    <w:rsid w:val="00BB5753"/>
    <w:rsid w:val="00BB59EC"/>
    <w:rsid w:val="00BC2537"/>
    <w:rsid w:val="00BC28A4"/>
    <w:rsid w:val="00BC2DBE"/>
    <w:rsid w:val="00BC47D6"/>
    <w:rsid w:val="00BC53E6"/>
    <w:rsid w:val="00BC5A5E"/>
    <w:rsid w:val="00BC6AA7"/>
    <w:rsid w:val="00BC7BB3"/>
    <w:rsid w:val="00BD0ADB"/>
    <w:rsid w:val="00BD0BBC"/>
    <w:rsid w:val="00BD0DCA"/>
    <w:rsid w:val="00BD27D1"/>
    <w:rsid w:val="00BD304A"/>
    <w:rsid w:val="00BD3A27"/>
    <w:rsid w:val="00BD5551"/>
    <w:rsid w:val="00BD6105"/>
    <w:rsid w:val="00BD7773"/>
    <w:rsid w:val="00BD7AE4"/>
    <w:rsid w:val="00BE0195"/>
    <w:rsid w:val="00BE05A4"/>
    <w:rsid w:val="00BE0A87"/>
    <w:rsid w:val="00BE0E8D"/>
    <w:rsid w:val="00BE3E1A"/>
    <w:rsid w:val="00BE44B9"/>
    <w:rsid w:val="00BE4601"/>
    <w:rsid w:val="00BE4B98"/>
    <w:rsid w:val="00BE4F72"/>
    <w:rsid w:val="00BE515E"/>
    <w:rsid w:val="00BE556D"/>
    <w:rsid w:val="00BE5D29"/>
    <w:rsid w:val="00BE6181"/>
    <w:rsid w:val="00BF1275"/>
    <w:rsid w:val="00BF1CC8"/>
    <w:rsid w:val="00BF1E07"/>
    <w:rsid w:val="00BF3513"/>
    <w:rsid w:val="00BF3986"/>
    <w:rsid w:val="00BF3B06"/>
    <w:rsid w:val="00BF3D39"/>
    <w:rsid w:val="00BF4035"/>
    <w:rsid w:val="00BF4FC0"/>
    <w:rsid w:val="00BF5BAA"/>
    <w:rsid w:val="00BF7348"/>
    <w:rsid w:val="00BF78AF"/>
    <w:rsid w:val="00C003F1"/>
    <w:rsid w:val="00C02A08"/>
    <w:rsid w:val="00C02D56"/>
    <w:rsid w:val="00C042C5"/>
    <w:rsid w:val="00C06076"/>
    <w:rsid w:val="00C069C2"/>
    <w:rsid w:val="00C072FE"/>
    <w:rsid w:val="00C07401"/>
    <w:rsid w:val="00C105A7"/>
    <w:rsid w:val="00C109A7"/>
    <w:rsid w:val="00C11544"/>
    <w:rsid w:val="00C13383"/>
    <w:rsid w:val="00C13CF9"/>
    <w:rsid w:val="00C13D6F"/>
    <w:rsid w:val="00C148B4"/>
    <w:rsid w:val="00C15024"/>
    <w:rsid w:val="00C22AFE"/>
    <w:rsid w:val="00C22CEB"/>
    <w:rsid w:val="00C23528"/>
    <w:rsid w:val="00C23CE7"/>
    <w:rsid w:val="00C25595"/>
    <w:rsid w:val="00C25DFA"/>
    <w:rsid w:val="00C25F4C"/>
    <w:rsid w:val="00C2629A"/>
    <w:rsid w:val="00C2666E"/>
    <w:rsid w:val="00C30FDF"/>
    <w:rsid w:val="00C31656"/>
    <w:rsid w:val="00C31EC7"/>
    <w:rsid w:val="00C31F9A"/>
    <w:rsid w:val="00C35709"/>
    <w:rsid w:val="00C35B47"/>
    <w:rsid w:val="00C36137"/>
    <w:rsid w:val="00C37976"/>
    <w:rsid w:val="00C40BC5"/>
    <w:rsid w:val="00C42150"/>
    <w:rsid w:val="00C43492"/>
    <w:rsid w:val="00C4420F"/>
    <w:rsid w:val="00C468F9"/>
    <w:rsid w:val="00C47212"/>
    <w:rsid w:val="00C474BD"/>
    <w:rsid w:val="00C47771"/>
    <w:rsid w:val="00C513DE"/>
    <w:rsid w:val="00C51709"/>
    <w:rsid w:val="00C5175D"/>
    <w:rsid w:val="00C53890"/>
    <w:rsid w:val="00C53F8A"/>
    <w:rsid w:val="00C54516"/>
    <w:rsid w:val="00C558F6"/>
    <w:rsid w:val="00C5771E"/>
    <w:rsid w:val="00C57F7F"/>
    <w:rsid w:val="00C62D74"/>
    <w:rsid w:val="00C6301C"/>
    <w:rsid w:val="00C630ED"/>
    <w:rsid w:val="00C642FE"/>
    <w:rsid w:val="00C649C9"/>
    <w:rsid w:val="00C67547"/>
    <w:rsid w:val="00C7106A"/>
    <w:rsid w:val="00C727DC"/>
    <w:rsid w:val="00C728E3"/>
    <w:rsid w:val="00C72A7F"/>
    <w:rsid w:val="00C72DC6"/>
    <w:rsid w:val="00C74E36"/>
    <w:rsid w:val="00C767B7"/>
    <w:rsid w:val="00C76E95"/>
    <w:rsid w:val="00C77198"/>
    <w:rsid w:val="00C8294B"/>
    <w:rsid w:val="00C83192"/>
    <w:rsid w:val="00C83C05"/>
    <w:rsid w:val="00C848D9"/>
    <w:rsid w:val="00C851C8"/>
    <w:rsid w:val="00C8735F"/>
    <w:rsid w:val="00C87D55"/>
    <w:rsid w:val="00C87EC7"/>
    <w:rsid w:val="00C903CE"/>
    <w:rsid w:val="00C9061D"/>
    <w:rsid w:val="00C923F1"/>
    <w:rsid w:val="00C944A9"/>
    <w:rsid w:val="00C9477F"/>
    <w:rsid w:val="00C94FD4"/>
    <w:rsid w:val="00C967D3"/>
    <w:rsid w:val="00CA08AB"/>
    <w:rsid w:val="00CA1920"/>
    <w:rsid w:val="00CA26DE"/>
    <w:rsid w:val="00CA2BD9"/>
    <w:rsid w:val="00CA3B26"/>
    <w:rsid w:val="00CA5F0D"/>
    <w:rsid w:val="00CA61CF"/>
    <w:rsid w:val="00CA6BCA"/>
    <w:rsid w:val="00CA70B4"/>
    <w:rsid w:val="00CA745D"/>
    <w:rsid w:val="00CB18E4"/>
    <w:rsid w:val="00CB376E"/>
    <w:rsid w:val="00CC07FE"/>
    <w:rsid w:val="00CC130B"/>
    <w:rsid w:val="00CC6970"/>
    <w:rsid w:val="00CC6A95"/>
    <w:rsid w:val="00CC6BDB"/>
    <w:rsid w:val="00CC74E4"/>
    <w:rsid w:val="00CC760D"/>
    <w:rsid w:val="00CC778D"/>
    <w:rsid w:val="00CC7D92"/>
    <w:rsid w:val="00CD0FA7"/>
    <w:rsid w:val="00CD170B"/>
    <w:rsid w:val="00CD2C37"/>
    <w:rsid w:val="00CD35B9"/>
    <w:rsid w:val="00CD5B8B"/>
    <w:rsid w:val="00CD5C1C"/>
    <w:rsid w:val="00CD6126"/>
    <w:rsid w:val="00CD787C"/>
    <w:rsid w:val="00CE1B27"/>
    <w:rsid w:val="00CE2492"/>
    <w:rsid w:val="00CE29ED"/>
    <w:rsid w:val="00CE31A3"/>
    <w:rsid w:val="00CE39B1"/>
    <w:rsid w:val="00CE459D"/>
    <w:rsid w:val="00CE4652"/>
    <w:rsid w:val="00CE4B4F"/>
    <w:rsid w:val="00CE5E36"/>
    <w:rsid w:val="00CE618B"/>
    <w:rsid w:val="00CE6237"/>
    <w:rsid w:val="00CE67A3"/>
    <w:rsid w:val="00CE730C"/>
    <w:rsid w:val="00CE7AC1"/>
    <w:rsid w:val="00CF17D6"/>
    <w:rsid w:val="00CF4953"/>
    <w:rsid w:val="00CF4C30"/>
    <w:rsid w:val="00CF529F"/>
    <w:rsid w:val="00CF5E2E"/>
    <w:rsid w:val="00CF7F30"/>
    <w:rsid w:val="00D0055E"/>
    <w:rsid w:val="00D00E80"/>
    <w:rsid w:val="00D02FF8"/>
    <w:rsid w:val="00D0408A"/>
    <w:rsid w:val="00D0412A"/>
    <w:rsid w:val="00D049CD"/>
    <w:rsid w:val="00D0723A"/>
    <w:rsid w:val="00D078FA"/>
    <w:rsid w:val="00D07989"/>
    <w:rsid w:val="00D11D95"/>
    <w:rsid w:val="00D1211A"/>
    <w:rsid w:val="00D12C51"/>
    <w:rsid w:val="00D12DE9"/>
    <w:rsid w:val="00D13DCB"/>
    <w:rsid w:val="00D14142"/>
    <w:rsid w:val="00D1487B"/>
    <w:rsid w:val="00D15F72"/>
    <w:rsid w:val="00D1667C"/>
    <w:rsid w:val="00D20C09"/>
    <w:rsid w:val="00D20D71"/>
    <w:rsid w:val="00D21074"/>
    <w:rsid w:val="00D21371"/>
    <w:rsid w:val="00D23150"/>
    <w:rsid w:val="00D313DF"/>
    <w:rsid w:val="00D33418"/>
    <w:rsid w:val="00D33B81"/>
    <w:rsid w:val="00D35014"/>
    <w:rsid w:val="00D368D3"/>
    <w:rsid w:val="00D369F7"/>
    <w:rsid w:val="00D37CFE"/>
    <w:rsid w:val="00D42E69"/>
    <w:rsid w:val="00D45BC5"/>
    <w:rsid w:val="00D46DA4"/>
    <w:rsid w:val="00D46EB3"/>
    <w:rsid w:val="00D47385"/>
    <w:rsid w:val="00D50742"/>
    <w:rsid w:val="00D50E15"/>
    <w:rsid w:val="00D51A3D"/>
    <w:rsid w:val="00D520F1"/>
    <w:rsid w:val="00D522E3"/>
    <w:rsid w:val="00D52D48"/>
    <w:rsid w:val="00D551A0"/>
    <w:rsid w:val="00D5555E"/>
    <w:rsid w:val="00D617EE"/>
    <w:rsid w:val="00D63C81"/>
    <w:rsid w:val="00D64246"/>
    <w:rsid w:val="00D6503C"/>
    <w:rsid w:val="00D6621A"/>
    <w:rsid w:val="00D6634E"/>
    <w:rsid w:val="00D66C0E"/>
    <w:rsid w:val="00D7023F"/>
    <w:rsid w:val="00D71D80"/>
    <w:rsid w:val="00D751CD"/>
    <w:rsid w:val="00D773D5"/>
    <w:rsid w:val="00D77C53"/>
    <w:rsid w:val="00D807EA"/>
    <w:rsid w:val="00D8110C"/>
    <w:rsid w:val="00D816BC"/>
    <w:rsid w:val="00D81867"/>
    <w:rsid w:val="00D81C82"/>
    <w:rsid w:val="00D81CA7"/>
    <w:rsid w:val="00D849DE"/>
    <w:rsid w:val="00D85A9D"/>
    <w:rsid w:val="00D8633F"/>
    <w:rsid w:val="00D902A0"/>
    <w:rsid w:val="00D91099"/>
    <w:rsid w:val="00D924F6"/>
    <w:rsid w:val="00D92E28"/>
    <w:rsid w:val="00D94D82"/>
    <w:rsid w:val="00D962A2"/>
    <w:rsid w:val="00D96320"/>
    <w:rsid w:val="00D96D9E"/>
    <w:rsid w:val="00D96EF9"/>
    <w:rsid w:val="00D97673"/>
    <w:rsid w:val="00DA63B2"/>
    <w:rsid w:val="00DB1378"/>
    <w:rsid w:val="00DB2273"/>
    <w:rsid w:val="00DB3191"/>
    <w:rsid w:val="00DB43BC"/>
    <w:rsid w:val="00DB53BE"/>
    <w:rsid w:val="00DB581B"/>
    <w:rsid w:val="00DC001E"/>
    <w:rsid w:val="00DC0D0C"/>
    <w:rsid w:val="00DC1BA8"/>
    <w:rsid w:val="00DC3419"/>
    <w:rsid w:val="00DC4371"/>
    <w:rsid w:val="00DC440A"/>
    <w:rsid w:val="00DC5920"/>
    <w:rsid w:val="00DC5EED"/>
    <w:rsid w:val="00DC7405"/>
    <w:rsid w:val="00DD0293"/>
    <w:rsid w:val="00DD0871"/>
    <w:rsid w:val="00DD3C3C"/>
    <w:rsid w:val="00DD3C45"/>
    <w:rsid w:val="00DD5617"/>
    <w:rsid w:val="00DE0C81"/>
    <w:rsid w:val="00DE2915"/>
    <w:rsid w:val="00DE483D"/>
    <w:rsid w:val="00DE5734"/>
    <w:rsid w:val="00DE5DB9"/>
    <w:rsid w:val="00DE6DD9"/>
    <w:rsid w:val="00DE7F55"/>
    <w:rsid w:val="00DF04F7"/>
    <w:rsid w:val="00DF256A"/>
    <w:rsid w:val="00DF3A6B"/>
    <w:rsid w:val="00DF4141"/>
    <w:rsid w:val="00DF59A0"/>
    <w:rsid w:val="00DF63BA"/>
    <w:rsid w:val="00DF6413"/>
    <w:rsid w:val="00DF661C"/>
    <w:rsid w:val="00DF6A7F"/>
    <w:rsid w:val="00DF6C2D"/>
    <w:rsid w:val="00DF730F"/>
    <w:rsid w:val="00E00832"/>
    <w:rsid w:val="00E0184F"/>
    <w:rsid w:val="00E024A1"/>
    <w:rsid w:val="00E044FB"/>
    <w:rsid w:val="00E04F15"/>
    <w:rsid w:val="00E076C5"/>
    <w:rsid w:val="00E108F8"/>
    <w:rsid w:val="00E10D76"/>
    <w:rsid w:val="00E11FD0"/>
    <w:rsid w:val="00E12AA9"/>
    <w:rsid w:val="00E130CF"/>
    <w:rsid w:val="00E14047"/>
    <w:rsid w:val="00E14D9E"/>
    <w:rsid w:val="00E15A7A"/>
    <w:rsid w:val="00E1715B"/>
    <w:rsid w:val="00E179D1"/>
    <w:rsid w:val="00E2149D"/>
    <w:rsid w:val="00E23FF8"/>
    <w:rsid w:val="00E24487"/>
    <w:rsid w:val="00E25496"/>
    <w:rsid w:val="00E262E3"/>
    <w:rsid w:val="00E27870"/>
    <w:rsid w:val="00E307B3"/>
    <w:rsid w:val="00E30D24"/>
    <w:rsid w:val="00E315BA"/>
    <w:rsid w:val="00E33993"/>
    <w:rsid w:val="00E33F92"/>
    <w:rsid w:val="00E3476F"/>
    <w:rsid w:val="00E350AA"/>
    <w:rsid w:val="00E36F72"/>
    <w:rsid w:val="00E373C9"/>
    <w:rsid w:val="00E37F52"/>
    <w:rsid w:val="00E4237F"/>
    <w:rsid w:val="00E42878"/>
    <w:rsid w:val="00E44322"/>
    <w:rsid w:val="00E44D19"/>
    <w:rsid w:val="00E44DED"/>
    <w:rsid w:val="00E4597E"/>
    <w:rsid w:val="00E46480"/>
    <w:rsid w:val="00E46D87"/>
    <w:rsid w:val="00E5008D"/>
    <w:rsid w:val="00E51601"/>
    <w:rsid w:val="00E51D28"/>
    <w:rsid w:val="00E5373E"/>
    <w:rsid w:val="00E5414A"/>
    <w:rsid w:val="00E54571"/>
    <w:rsid w:val="00E55AD6"/>
    <w:rsid w:val="00E5760C"/>
    <w:rsid w:val="00E5790A"/>
    <w:rsid w:val="00E57D4D"/>
    <w:rsid w:val="00E6116F"/>
    <w:rsid w:val="00E61488"/>
    <w:rsid w:val="00E61ACE"/>
    <w:rsid w:val="00E624E4"/>
    <w:rsid w:val="00E64AD6"/>
    <w:rsid w:val="00E65E26"/>
    <w:rsid w:val="00E65EF0"/>
    <w:rsid w:val="00E675F2"/>
    <w:rsid w:val="00E71DA7"/>
    <w:rsid w:val="00E728CD"/>
    <w:rsid w:val="00E75C6C"/>
    <w:rsid w:val="00E7759B"/>
    <w:rsid w:val="00E77B56"/>
    <w:rsid w:val="00E77EEE"/>
    <w:rsid w:val="00E813A0"/>
    <w:rsid w:val="00E836D5"/>
    <w:rsid w:val="00E83ECB"/>
    <w:rsid w:val="00E841AB"/>
    <w:rsid w:val="00E84AB9"/>
    <w:rsid w:val="00E84E48"/>
    <w:rsid w:val="00E84EBF"/>
    <w:rsid w:val="00E85D03"/>
    <w:rsid w:val="00E86AA2"/>
    <w:rsid w:val="00E87B54"/>
    <w:rsid w:val="00E902E3"/>
    <w:rsid w:val="00E91DB2"/>
    <w:rsid w:val="00E933BA"/>
    <w:rsid w:val="00E96DFF"/>
    <w:rsid w:val="00EA01DE"/>
    <w:rsid w:val="00EA0312"/>
    <w:rsid w:val="00EA1C77"/>
    <w:rsid w:val="00EA21C1"/>
    <w:rsid w:val="00EA2CBF"/>
    <w:rsid w:val="00EA2F8F"/>
    <w:rsid w:val="00EA3EC1"/>
    <w:rsid w:val="00EA5536"/>
    <w:rsid w:val="00EA6BCE"/>
    <w:rsid w:val="00EA7640"/>
    <w:rsid w:val="00EA7E86"/>
    <w:rsid w:val="00EB0165"/>
    <w:rsid w:val="00EB0933"/>
    <w:rsid w:val="00EB317E"/>
    <w:rsid w:val="00EB33C0"/>
    <w:rsid w:val="00EB4C40"/>
    <w:rsid w:val="00EB4F47"/>
    <w:rsid w:val="00EB6239"/>
    <w:rsid w:val="00EB6E66"/>
    <w:rsid w:val="00EC107E"/>
    <w:rsid w:val="00EC14F6"/>
    <w:rsid w:val="00EC29BD"/>
    <w:rsid w:val="00EC2C12"/>
    <w:rsid w:val="00EC3079"/>
    <w:rsid w:val="00EC3FD2"/>
    <w:rsid w:val="00EC56C3"/>
    <w:rsid w:val="00EC66EA"/>
    <w:rsid w:val="00ED2D31"/>
    <w:rsid w:val="00ED2D3E"/>
    <w:rsid w:val="00ED394E"/>
    <w:rsid w:val="00ED471D"/>
    <w:rsid w:val="00ED4F47"/>
    <w:rsid w:val="00ED5943"/>
    <w:rsid w:val="00ED5EE1"/>
    <w:rsid w:val="00EE0A0D"/>
    <w:rsid w:val="00EE1000"/>
    <w:rsid w:val="00EE2247"/>
    <w:rsid w:val="00EE339C"/>
    <w:rsid w:val="00EE4319"/>
    <w:rsid w:val="00EE50DB"/>
    <w:rsid w:val="00EE5EF3"/>
    <w:rsid w:val="00EE6C42"/>
    <w:rsid w:val="00EE725C"/>
    <w:rsid w:val="00EF1F97"/>
    <w:rsid w:val="00EF3F07"/>
    <w:rsid w:val="00EF47F2"/>
    <w:rsid w:val="00F00AB3"/>
    <w:rsid w:val="00F02E54"/>
    <w:rsid w:val="00F0387C"/>
    <w:rsid w:val="00F046F7"/>
    <w:rsid w:val="00F0580A"/>
    <w:rsid w:val="00F05C54"/>
    <w:rsid w:val="00F05D63"/>
    <w:rsid w:val="00F0741D"/>
    <w:rsid w:val="00F07751"/>
    <w:rsid w:val="00F11356"/>
    <w:rsid w:val="00F130B8"/>
    <w:rsid w:val="00F1314B"/>
    <w:rsid w:val="00F13239"/>
    <w:rsid w:val="00F13240"/>
    <w:rsid w:val="00F147B3"/>
    <w:rsid w:val="00F14DAA"/>
    <w:rsid w:val="00F161D0"/>
    <w:rsid w:val="00F17731"/>
    <w:rsid w:val="00F17F28"/>
    <w:rsid w:val="00F2088B"/>
    <w:rsid w:val="00F211D4"/>
    <w:rsid w:val="00F2136D"/>
    <w:rsid w:val="00F24675"/>
    <w:rsid w:val="00F246D5"/>
    <w:rsid w:val="00F2475A"/>
    <w:rsid w:val="00F25E3F"/>
    <w:rsid w:val="00F2731D"/>
    <w:rsid w:val="00F27457"/>
    <w:rsid w:val="00F316D7"/>
    <w:rsid w:val="00F31D45"/>
    <w:rsid w:val="00F324B2"/>
    <w:rsid w:val="00F329C5"/>
    <w:rsid w:val="00F329EC"/>
    <w:rsid w:val="00F337D2"/>
    <w:rsid w:val="00F33C55"/>
    <w:rsid w:val="00F34659"/>
    <w:rsid w:val="00F356E2"/>
    <w:rsid w:val="00F35947"/>
    <w:rsid w:val="00F37B80"/>
    <w:rsid w:val="00F40326"/>
    <w:rsid w:val="00F40606"/>
    <w:rsid w:val="00F428D7"/>
    <w:rsid w:val="00F43658"/>
    <w:rsid w:val="00F44BD9"/>
    <w:rsid w:val="00F45632"/>
    <w:rsid w:val="00F476CB"/>
    <w:rsid w:val="00F52452"/>
    <w:rsid w:val="00F5373D"/>
    <w:rsid w:val="00F53989"/>
    <w:rsid w:val="00F54165"/>
    <w:rsid w:val="00F54AC2"/>
    <w:rsid w:val="00F55C9E"/>
    <w:rsid w:val="00F55FAE"/>
    <w:rsid w:val="00F57F53"/>
    <w:rsid w:val="00F61654"/>
    <w:rsid w:val="00F61B64"/>
    <w:rsid w:val="00F646ED"/>
    <w:rsid w:val="00F65133"/>
    <w:rsid w:val="00F6572F"/>
    <w:rsid w:val="00F65DAF"/>
    <w:rsid w:val="00F66FAD"/>
    <w:rsid w:val="00F67A40"/>
    <w:rsid w:val="00F71896"/>
    <w:rsid w:val="00F718A3"/>
    <w:rsid w:val="00F71EF8"/>
    <w:rsid w:val="00F72153"/>
    <w:rsid w:val="00F7229F"/>
    <w:rsid w:val="00F73841"/>
    <w:rsid w:val="00F764A2"/>
    <w:rsid w:val="00F8067E"/>
    <w:rsid w:val="00F80939"/>
    <w:rsid w:val="00F814B2"/>
    <w:rsid w:val="00F816A6"/>
    <w:rsid w:val="00F836F7"/>
    <w:rsid w:val="00F85A1D"/>
    <w:rsid w:val="00F86068"/>
    <w:rsid w:val="00F86974"/>
    <w:rsid w:val="00F90112"/>
    <w:rsid w:val="00F903A8"/>
    <w:rsid w:val="00F906CE"/>
    <w:rsid w:val="00F91199"/>
    <w:rsid w:val="00F916E1"/>
    <w:rsid w:val="00F922BC"/>
    <w:rsid w:val="00F92C71"/>
    <w:rsid w:val="00F939F7"/>
    <w:rsid w:val="00F9574D"/>
    <w:rsid w:val="00F9589B"/>
    <w:rsid w:val="00F96605"/>
    <w:rsid w:val="00F96F22"/>
    <w:rsid w:val="00F96F6D"/>
    <w:rsid w:val="00FA09F6"/>
    <w:rsid w:val="00FA3359"/>
    <w:rsid w:val="00FA3582"/>
    <w:rsid w:val="00FA38EF"/>
    <w:rsid w:val="00FB264D"/>
    <w:rsid w:val="00FB4A05"/>
    <w:rsid w:val="00FB4B3F"/>
    <w:rsid w:val="00FB6196"/>
    <w:rsid w:val="00FB65D3"/>
    <w:rsid w:val="00FC0610"/>
    <w:rsid w:val="00FC0886"/>
    <w:rsid w:val="00FC0D8F"/>
    <w:rsid w:val="00FC1BAA"/>
    <w:rsid w:val="00FC220C"/>
    <w:rsid w:val="00FC2828"/>
    <w:rsid w:val="00FC33C2"/>
    <w:rsid w:val="00FC4AD1"/>
    <w:rsid w:val="00FC5045"/>
    <w:rsid w:val="00FC50DD"/>
    <w:rsid w:val="00FC5196"/>
    <w:rsid w:val="00FC561D"/>
    <w:rsid w:val="00FC661A"/>
    <w:rsid w:val="00FD5EC9"/>
    <w:rsid w:val="00FD7AD8"/>
    <w:rsid w:val="00FE1D70"/>
    <w:rsid w:val="00FE2679"/>
    <w:rsid w:val="00FE2FCA"/>
    <w:rsid w:val="00FE3C17"/>
    <w:rsid w:val="00FE405B"/>
    <w:rsid w:val="00FE470C"/>
    <w:rsid w:val="00FE4E57"/>
    <w:rsid w:val="00FE5031"/>
    <w:rsid w:val="00FE5106"/>
    <w:rsid w:val="00FF0E33"/>
    <w:rsid w:val="00FF115E"/>
    <w:rsid w:val="00FF28C4"/>
    <w:rsid w:val="00FF68F1"/>
    <w:rsid w:val="20190880"/>
    <w:rsid w:val="32C783CF"/>
    <w:rsid w:val="719D611F"/>
    <w:rsid w:val="733CE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F4C2C"/>
  <w15:docId w15:val="{BAF32447-01A7-4323-BFF9-AB72B1C3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0" w:qFormat="1"/>
    <w:lsdException w:name="heading 4" w:uiPriority="9"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sz w:val="24"/>
    </w:rPr>
  </w:style>
  <w:style w:type="paragraph" w:styleId="Heading1">
    <w:name w:val="heading 1"/>
    <w:basedOn w:val="Normal"/>
    <w:next w:val="Normal"/>
    <w:link w:val="Heading1Char"/>
    <w:uiPriority w:val="1"/>
    <w:qFormat/>
    <w:pPr>
      <w:keepNext/>
      <w:outlineLvl w:val="0"/>
    </w:pPr>
    <w:rPr>
      <w:rFonts w:ascii="Impact" w:hAnsi="Impact"/>
      <w:color w:val="333300"/>
      <w:sz w:val="44"/>
    </w:rPr>
  </w:style>
  <w:style w:type="paragraph" w:styleId="Heading2">
    <w:name w:val="heading 2"/>
    <w:basedOn w:val="Heading1"/>
    <w:next w:val="Normal"/>
    <w:link w:val="Heading2Char"/>
    <w:uiPriority w:val="1"/>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link w:val="Heading4Char"/>
    <w:uiPriority w:val="9"/>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Times New Roman" w:hAnsi="Times New Roman"/>
      <w:sz w:val="20"/>
    </w:rPr>
  </w:style>
  <w:style w:type="paragraph" w:styleId="BodyText">
    <w:name w:val="Body Text"/>
    <w:basedOn w:val="Normal"/>
    <w:link w:val="BodyTextChar"/>
    <w:uiPriority w:val="1"/>
    <w:qFormat/>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uiPriority w:val="99"/>
    <w:rPr>
      <w:rFonts w:ascii="Impact" w:hAnsi="Impact"/>
      <w:color w:val="FFFFFF"/>
      <w:sz w:val="36"/>
      <w:szCs w:val="36"/>
    </w:rPr>
  </w:style>
  <w:style w:type="character" w:styleId="FollowedHyperlink">
    <w:name w:val="FollowedHyperlink"/>
    <w:basedOn w:val="DefaultParagraphFont"/>
    <w:uiPriority w:val="99"/>
    <w:rsid w:val="00CA70B4"/>
    <w:rPr>
      <w:color w:val="800080"/>
      <w:u w:val="single"/>
    </w:rPr>
  </w:style>
  <w:style w:type="paragraph" w:styleId="ListParagraph">
    <w:name w:val="List Paragraph"/>
    <w:basedOn w:val="Normal"/>
    <w:uiPriority w:val="34"/>
    <w:qFormat/>
    <w:rsid w:val="00B45BA4"/>
    <w:pPr>
      <w:ind w:left="720"/>
      <w:contextualSpacing/>
    </w:pPr>
    <w:rPr>
      <w:rFonts w:ascii="Times New Roman" w:hAnsi="Times New Roman"/>
      <w:sz w:val="22"/>
      <w:szCs w:val="22"/>
      <w:lang w:bidi="en-U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semiHidden/>
    <w:rsid w:val="00D64246"/>
    <w:rPr>
      <w:sz w:val="20"/>
    </w:rPr>
  </w:style>
  <w:style w:type="character" w:styleId="FootnoteReference">
    <w:name w:val="footnote reference"/>
    <w:basedOn w:val="DefaultParagraphFont"/>
    <w:uiPriority w:val="99"/>
    <w:semiHidden/>
    <w:rsid w:val="00D64246"/>
    <w:rPr>
      <w:vertAlign w:val="superscript"/>
    </w:rPr>
  </w:style>
  <w:style w:type="character" w:styleId="Hyperlink">
    <w:name w:val="Hyperlink"/>
    <w:basedOn w:val="DefaultParagraphFont"/>
    <w:uiPriority w:val="99"/>
    <w:rsid w:val="00D64246"/>
    <w:rPr>
      <w:color w:val="0000FF"/>
      <w:u w:val="single"/>
    </w:rPr>
  </w:style>
  <w:style w:type="paragraph" w:styleId="EndnoteText">
    <w:name w:val="endnote text"/>
    <w:basedOn w:val="Normal"/>
    <w:semiHidden/>
    <w:rsid w:val="00BE5D29"/>
    <w:pPr>
      <w:spacing w:line="360" w:lineRule="auto"/>
      <w:jc w:val="both"/>
    </w:pPr>
    <w:rPr>
      <w:rFonts w:ascii="Times New Roman" w:hAnsi="Times New Roman"/>
      <w:sz w:val="20"/>
    </w:rPr>
  </w:style>
  <w:style w:type="paragraph" w:styleId="Caption">
    <w:name w:val="caption"/>
    <w:basedOn w:val="Normal"/>
    <w:next w:val="Normal"/>
    <w:qFormat/>
    <w:rsid w:val="000B4DB7"/>
    <w:rPr>
      <w:rFonts w:ascii="Times New Roman" w:hAnsi="Times New Roman"/>
      <w:b/>
      <w:bCs/>
      <w:sz w:val="20"/>
    </w:rPr>
  </w:style>
  <w:style w:type="character" w:styleId="CommentReference">
    <w:name w:val="annotation reference"/>
    <w:basedOn w:val="DefaultParagraphFont"/>
    <w:uiPriority w:val="99"/>
    <w:semiHidden/>
    <w:rsid w:val="000556AE"/>
    <w:rPr>
      <w:sz w:val="16"/>
      <w:szCs w:val="16"/>
    </w:rPr>
  </w:style>
  <w:style w:type="paragraph" w:styleId="CommentText">
    <w:name w:val="annotation text"/>
    <w:basedOn w:val="Normal"/>
    <w:link w:val="CommentTextChar"/>
    <w:uiPriority w:val="99"/>
    <w:semiHidden/>
    <w:rsid w:val="000556AE"/>
    <w:rPr>
      <w:sz w:val="20"/>
    </w:rPr>
  </w:style>
  <w:style w:type="paragraph" w:styleId="CommentSubject">
    <w:name w:val="annotation subject"/>
    <w:basedOn w:val="CommentText"/>
    <w:next w:val="CommentText"/>
    <w:link w:val="CommentSubjectChar"/>
    <w:uiPriority w:val="99"/>
    <w:semiHidden/>
    <w:rsid w:val="000556AE"/>
    <w:rPr>
      <w:b/>
      <w:bCs/>
    </w:rPr>
  </w:style>
  <w:style w:type="paragraph" w:styleId="BalloonText">
    <w:name w:val="Balloon Text"/>
    <w:basedOn w:val="Normal"/>
    <w:link w:val="BalloonTextChar"/>
    <w:uiPriority w:val="99"/>
    <w:semiHidden/>
    <w:rsid w:val="000556AE"/>
    <w:rPr>
      <w:rFonts w:ascii="Tahoma" w:hAnsi="Tahoma" w:cs="Tahoma"/>
      <w:sz w:val="16"/>
      <w:szCs w:val="16"/>
    </w:rPr>
  </w:style>
  <w:style w:type="character" w:customStyle="1" w:styleId="FootnoteTextChar">
    <w:name w:val="Footnote Text Char"/>
    <w:basedOn w:val="DefaultParagraphFont"/>
    <w:link w:val="FootnoteText"/>
    <w:uiPriority w:val="99"/>
    <w:semiHidden/>
    <w:rsid w:val="00270250"/>
    <w:rPr>
      <w:rFonts w:ascii="Arial" w:hAnsi="Arial"/>
      <w:lang w:val="en-US" w:eastAsia="en-US" w:bidi="ar-SA"/>
    </w:rPr>
  </w:style>
  <w:style w:type="paragraph" w:customStyle="1" w:styleId="Default">
    <w:name w:val="Default"/>
    <w:rsid w:val="00F130B8"/>
    <w:pPr>
      <w:autoSpaceDE w:val="0"/>
      <w:autoSpaceDN w:val="0"/>
      <w:adjustRightInd w:val="0"/>
    </w:pPr>
    <w:rPr>
      <w:rFonts w:ascii="Times New Roman" w:eastAsia="Times New Roman" w:hAnsi="Times New Roman"/>
      <w:color w:val="000000"/>
      <w:sz w:val="24"/>
      <w:szCs w:val="24"/>
    </w:rPr>
  </w:style>
  <w:style w:type="paragraph" w:styleId="BlockText">
    <w:name w:val="Block Text"/>
    <w:basedOn w:val="Normal"/>
    <w:uiPriority w:val="99"/>
    <w:rsid w:val="00997D46"/>
    <w:pPr>
      <w:spacing w:line="260" w:lineRule="exact"/>
      <w:ind w:left="2160" w:right="-360"/>
    </w:pPr>
    <w:rPr>
      <w:rFonts w:ascii="Times New Roman" w:hAnsi="Times New Roman"/>
      <w:sz w:val="22"/>
      <w:szCs w:val="22"/>
    </w:rPr>
  </w:style>
  <w:style w:type="character" w:customStyle="1" w:styleId="HeaderChar">
    <w:name w:val="Header Char"/>
    <w:basedOn w:val="DefaultParagraphFont"/>
    <w:link w:val="Header"/>
    <w:uiPriority w:val="99"/>
    <w:rsid w:val="00997D46"/>
    <w:rPr>
      <w:rFonts w:ascii="Times New Roman" w:eastAsia="Times New Roman" w:hAnsi="Times New Roman"/>
    </w:rPr>
  </w:style>
  <w:style w:type="paragraph" w:styleId="TOC2">
    <w:name w:val="toc 2"/>
    <w:basedOn w:val="Normal"/>
    <w:next w:val="Normal"/>
    <w:autoRedefine/>
    <w:uiPriority w:val="39"/>
    <w:rsid w:val="00997D46"/>
    <w:pPr>
      <w:spacing w:after="100"/>
      <w:ind w:left="240"/>
    </w:pPr>
    <w:rPr>
      <w:rFonts w:eastAsia="Times" w:cs="Arial"/>
      <w:szCs w:val="24"/>
    </w:rPr>
  </w:style>
  <w:style w:type="paragraph" w:styleId="TOC1">
    <w:name w:val="toc 1"/>
    <w:basedOn w:val="Normal"/>
    <w:next w:val="Normal"/>
    <w:autoRedefine/>
    <w:uiPriority w:val="39"/>
    <w:rsid w:val="001916E7"/>
    <w:pPr>
      <w:tabs>
        <w:tab w:val="right" w:leader="dot" w:pos="9350"/>
      </w:tabs>
      <w:spacing w:after="100"/>
    </w:pPr>
    <w:rPr>
      <w:rFonts w:ascii="Palatino Linotype" w:eastAsia="Times" w:hAnsi="Palatino Linotype" w:cs="Arial"/>
      <w:szCs w:val="24"/>
    </w:rPr>
  </w:style>
  <w:style w:type="paragraph" w:styleId="TableofFigures">
    <w:name w:val="table of figures"/>
    <w:basedOn w:val="Normal"/>
    <w:next w:val="Normal"/>
    <w:uiPriority w:val="99"/>
    <w:rsid w:val="006F43B0"/>
    <w:pPr>
      <w:spacing w:line="360" w:lineRule="auto"/>
      <w:ind w:left="475" w:hanging="475"/>
    </w:pPr>
    <w:rPr>
      <w:rFonts w:ascii="Palatino Linotype" w:hAnsi="Palatino Linotype" w:cs="Arial"/>
      <w:szCs w:val="24"/>
    </w:rPr>
  </w:style>
  <w:style w:type="paragraph" w:styleId="Revision">
    <w:name w:val="Revision"/>
    <w:hidden/>
    <w:uiPriority w:val="99"/>
    <w:semiHidden/>
    <w:rsid w:val="005A2AA4"/>
    <w:rPr>
      <w:rFonts w:ascii="Arial" w:eastAsia="Times New Roman" w:hAnsi="Arial"/>
      <w:sz w:val="24"/>
    </w:rPr>
  </w:style>
  <w:style w:type="character" w:styleId="Strong">
    <w:name w:val="Strong"/>
    <w:basedOn w:val="DefaultParagraphFont"/>
    <w:uiPriority w:val="22"/>
    <w:qFormat/>
    <w:rsid w:val="0041266D"/>
    <w:rPr>
      <w:b/>
      <w:bCs/>
    </w:rPr>
  </w:style>
  <w:style w:type="paragraph" w:styleId="NormalWeb">
    <w:name w:val="Normal (Web)"/>
    <w:basedOn w:val="Normal"/>
    <w:uiPriority w:val="99"/>
    <w:unhideWhenUsed/>
    <w:rsid w:val="0041266D"/>
    <w:pPr>
      <w:spacing w:before="100" w:beforeAutospacing="1" w:after="100" w:afterAutospacing="1"/>
    </w:pPr>
    <w:rPr>
      <w:rFonts w:ascii="Times New Roman" w:eastAsia="Times" w:hAnsi="Times New Roman"/>
      <w:szCs w:val="24"/>
    </w:rPr>
  </w:style>
  <w:style w:type="character" w:customStyle="1" w:styleId="apple-converted-space">
    <w:name w:val="apple-converted-space"/>
    <w:basedOn w:val="DefaultParagraphFont"/>
    <w:rsid w:val="004703F3"/>
  </w:style>
  <w:style w:type="table" w:styleId="TableGrid">
    <w:name w:val="Table Grid"/>
    <w:basedOn w:val="TableNormal"/>
    <w:uiPriority w:val="59"/>
    <w:rsid w:val="00320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9978EB"/>
    <w:pPr>
      <w:spacing w:after="100"/>
      <w:ind w:left="480"/>
    </w:pPr>
  </w:style>
  <w:style w:type="character" w:customStyle="1" w:styleId="UnresolvedMention1">
    <w:name w:val="Unresolved Mention1"/>
    <w:basedOn w:val="DefaultParagraphFont"/>
    <w:uiPriority w:val="99"/>
    <w:semiHidden/>
    <w:unhideWhenUsed/>
    <w:rsid w:val="00413477"/>
    <w:rPr>
      <w:color w:val="808080"/>
      <w:shd w:val="clear" w:color="auto" w:fill="E6E6E6"/>
    </w:rPr>
  </w:style>
  <w:style w:type="character" w:customStyle="1" w:styleId="Heading1Char">
    <w:name w:val="Heading 1 Char"/>
    <w:basedOn w:val="DefaultParagraphFont"/>
    <w:link w:val="Heading1"/>
    <w:uiPriority w:val="1"/>
    <w:locked/>
    <w:rsid w:val="00FE470C"/>
    <w:rPr>
      <w:rFonts w:ascii="Impact" w:eastAsia="Times New Roman" w:hAnsi="Impact"/>
      <w:color w:val="333300"/>
      <w:sz w:val="44"/>
    </w:rPr>
  </w:style>
  <w:style w:type="character" w:customStyle="1" w:styleId="Heading2Char">
    <w:name w:val="Heading 2 Char"/>
    <w:basedOn w:val="DefaultParagraphFont"/>
    <w:link w:val="Heading2"/>
    <w:uiPriority w:val="1"/>
    <w:locked/>
    <w:rsid w:val="00FE470C"/>
    <w:rPr>
      <w:rFonts w:ascii="Impact" w:eastAsia="Times New Roman" w:hAnsi="Impact"/>
      <w:color w:val="333300"/>
      <w:sz w:val="36"/>
    </w:rPr>
  </w:style>
  <w:style w:type="character" w:customStyle="1" w:styleId="Heading4Char">
    <w:name w:val="Heading 4 Char"/>
    <w:basedOn w:val="DefaultParagraphFont"/>
    <w:link w:val="Heading4"/>
    <w:uiPriority w:val="9"/>
    <w:locked/>
    <w:rsid w:val="00FE470C"/>
    <w:rPr>
      <w:rFonts w:ascii="Impact" w:eastAsia="Times New Roman" w:hAnsi="Impact"/>
      <w:i/>
      <w:color w:val="333300"/>
      <w:sz w:val="24"/>
    </w:rPr>
  </w:style>
  <w:style w:type="character" w:customStyle="1" w:styleId="BodyTextChar">
    <w:name w:val="Body Text Char"/>
    <w:basedOn w:val="DefaultParagraphFont"/>
    <w:link w:val="BodyText"/>
    <w:uiPriority w:val="1"/>
    <w:locked/>
    <w:rsid w:val="00FE470C"/>
    <w:rPr>
      <w:rFonts w:ascii="Arial" w:eastAsia="Times New Roman" w:hAnsi="Arial"/>
    </w:rPr>
  </w:style>
  <w:style w:type="paragraph" w:customStyle="1" w:styleId="TableParagraph">
    <w:name w:val="Table Paragraph"/>
    <w:basedOn w:val="Normal"/>
    <w:uiPriority w:val="1"/>
    <w:qFormat/>
    <w:rsid w:val="00FE470C"/>
    <w:pPr>
      <w:widowControl w:val="0"/>
      <w:autoSpaceDE w:val="0"/>
      <w:autoSpaceDN w:val="0"/>
      <w:adjustRightInd w:val="0"/>
    </w:pPr>
    <w:rPr>
      <w:rFonts w:ascii="Times New Roman" w:eastAsiaTheme="minorEastAsia" w:hAnsi="Times New Roman"/>
      <w:szCs w:val="24"/>
    </w:rPr>
  </w:style>
  <w:style w:type="character" w:customStyle="1" w:styleId="CommentTextChar">
    <w:name w:val="Comment Text Char"/>
    <w:basedOn w:val="DefaultParagraphFont"/>
    <w:link w:val="CommentText"/>
    <w:uiPriority w:val="99"/>
    <w:semiHidden/>
    <w:rsid w:val="00FE470C"/>
    <w:rPr>
      <w:rFonts w:ascii="Arial" w:eastAsia="Times New Roman" w:hAnsi="Arial"/>
    </w:rPr>
  </w:style>
  <w:style w:type="character" w:customStyle="1" w:styleId="CommentSubjectChar">
    <w:name w:val="Comment Subject Char"/>
    <w:basedOn w:val="CommentTextChar"/>
    <w:link w:val="CommentSubject"/>
    <w:uiPriority w:val="99"/>
    <w:semiHidden/>
    <w:rsid w:val="00FE470C"/>
    <w:rPr>
      <w:rFonts w:ascii="Arial" w:eastAsia="Times New Roman" w:hAnsi="Arial"/>
      <w:b/>
      <w:bCs/>
    </w:rPr>
  </w:style>
  <w:style w:type="character" w:customStyle="1" w:styleId="BalloonTextChar">
    <w:name w:val="Balloon Text Char"/>
    <w:basedOn w:val="DefaultParagraphFont"/>
    <w:link w:val="BalloonText"/>
    <w:uiPriority w:val="99"/>
    <w:semiHidden/>
    <w:rsid w:val="00FE470C"/>
    <w:rPr>
      <w:rFonts w:ascii="Tahoma" w:eastAsia="Times New Roman" w:hAnsi="Tahoma" w:cs="Tahoma"/>
      <w:sz w:val="16"/>
      <w:szCs w:val="16"/>
    </w:rPr>
  </w:style>
  <w:style w:type="character" w:customStyle="1" w:styleId="FooterChar">
    <w:name w:val="Footer Char"/>
    <w:basedOn w:val="DefaultParagraphFont"/>
    <w:link w:val="Footer"/>
    <w:uiPriority w:val="99"/>
    <w:rsid w:val="00FE470C"/>
    <w:rPr>
      <w:rFonts w:ascii="Arial" w:eastAsia="Times New Roman" w:hAnsi="Arial"/>
      <w:sz w:val="24"/>
    </w:rPr>
  </w:style>
  <w:style w:type="character" w:customStyle="1" w:styleId="UnresolvedMention2">
    <w:name w:val="Unresolved Mention2"/>
    <w:basedOn w:val="DefaultParagraphFont"/>
    <w:uiPriority w:val="99"/>
    <w:semiHidden/>
    <w:unhideWhenUsed/>
    <w:rsid w:val="00FE470C"/>
    <w:rPr>
      <w:color w:val="605E5C"/>
      <w:shd w:val="clear" w:color="auto" w:fill="E1DFDD"/>
    </w:rPr>
  </w:style>
  <w:style w:type="character" w:customStyle="1" w:styleId="UnresolvedMention3">
    <w:name w:val="Unresolved Mention3"/>
    <w:basedOn w:val="DefaultParagraphFont"/>
    <w:uiPriority w:val="99"/>
    <w:semiHidden/>
    <w:unhideWhenUsed/>
    <w:rsid w:val="00B768B5"/>
    <w:rPr>
      <w:color w:val="605E5C"/>
      <w:shd w:val="clear" w:color="auto" w:fill="E1DFDD"/>
    </w:rPr>
  </w:style>
  <w:style w:type="character" w:customStyle="1" w:styleId="UnresolvedMention4">
    <w:name w:val="Unresolved Mention4"/>
    <w:basedOn w:val="DefaultParagraphFont"/>
    <w:uiPriority w:val="99"/>
    <w:semiHidden/>
    <w:unhideWhenUsed/>
    <w:rsid w:val="00836735"/>
    <w:rPr>
      <w:color w:val="605E5C"/>
      <w:shd w:val="clear" w:color="auto" w:fill="E1DFDD"/>
    </w:rPr>
  </w:style>
  <w:style w:type="character" w:customStyle="1" w:styleId="UnresolvedMention5">
    <w:name w:val="Unresolved Mention5"/>
    <w:basedOn w:val="DefaultParagraphFont"/>
    <w:uiPriority w:val="99"/>
    <w:semiHidden/>
    <w:unhideWhenUsed/>
    <w:rsid w:val="00721219"/>
    <w:rPr>
      <w:color w:val="605E5C"/>
      <w:shd w:val="clear" w:color="auto" w:fill="E1DFDD"/>
    </w:rPr>
  </w:style>
  <w:style w:type="character" w:styleId="EndnoteReference">
    <w:name w:val="endnote reference"/>
    <w:basedOn w:val="DefaultParagraphFont"/>
    <w:uiPriority w:val="99"/>
    <w:semiHidden/>
    <w:unhideWhenUsed/>
    <w:rsid w:val="005B6F33"/>
    <w:rPr>
      <w:vertAlign w:val="superscript"/>
    </w:rPr>
  </w:style>
  <w:style w:type="character" w:customStyle="1" w:styleId="UnresolvedMention6">
    <w:name w:val="Unresolved Mention6"/>
    <w:basedOn w:val="DefaultParagraphFont"/>
    <w:uiPriority w:val="99"/>
    <w:semiHidden/>
    <w:unhideWhenUsed/>
    <w:rsid w:val="00F14DAA"/>
    <w:rPr>
      <w:color w:val="605E5C"/>
      <w:shd w:val="clear" w:color="auto" w:fill="E1DFDD"/>
    </w:rPr>
  </w:style>
  <w:style w:type="character" w:styleId="UnresolvedMention">
    <w:name w:val="Unresolved Mention"/>
    <w:basedOn w:val="DefaultParagraphFont"/>
    <w:uiPriority w:val="99"/>
    <w:semiHidden/>
    <w:unhideWhenUsed/>
    <w:rsid w:val="00D11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39135">
      <w:bodyDiv w:val="1"/>
      <w:marLeft w:val="0"/>
      <w:marRight w:val="0"/>
      <w:marTop w:val="0"/>
      <w:marBottom w:val="0"/>
      <w:divBdr>
        <w:top w:val="none" w:sz="0" w:space="0" w:color="auto"/>
        <w:left w:val="none" w:sz="0" w:space="0" w:color="auto"/>
        <w:bottom w:val="none" w:sz="0" w:space="0" w:color="auto"/>
        <w:right w:val="none" w:sz="0" w:space="0" w:color="auto"/>
      </w:divBdr>
    </w:div>
    <w:div w:id="158890207">
      <w:bodyDiv w:val="1"/>
      <w:marLeft w:val="0"/>
      <w:marRight w:val="0"/>
      <w:marTop w:val="0"/>
      <w:marBottom w:val="0"/>
      <w:divBdr>
        <w:top w:val="none" w:sz="0" w:space="0" w:color="auto"/>
        <w:left w:val="none" w:sz="0" w:space="0" w:color="auto"/>
        <w:bottom w:val="none" w:sz="0" w:space="0" w:color="auto"/>
        <w:right w:val="none" w:sz="0" w:space="0" w:color="auto"/>
      </w:divBdr>
    </w:div>
    <w:div w:id="168952851">
      <w:bodyDiv w:val="1"/>
      <w:marLeft w:val="0"/>
      <w:marRight w:val="0"/>
      <w:marTop w:val="0"/>
      <w:marBottom w:val="0"/>
      <w:divBdr>
        <w:top w:val="none" w:sz="0" w:space="0" w:color="auto"/>
        <w:left w:val="none" w:sz="0" w:space="0" w:color="auto"/>
        <w:bottom w:val="none" w:sz="0" w:space="0" w:color="auto"/>
        <w:right w:val="none" w:sz="0" w:space="0" w:color="auto"/>
      </w:divBdr>
    </w:div>
    <w:div w:id="176191869">
      <w:bodyDiv w:val="1"/>
      <w:marLeft w:val="0"/>
      <w:marRight w:val="0"/>
      <w:marTop w:val="0"/>
      <w:marBottom w:val="0"/>
      <w:divBdr>
        <w:top w:val="none" w:sz="0" w:space="0" w:color="auto"/>
        <w:left w:val="none" w:sz="0" w:space="0" w:color="auto"/>
        <w:bottom w:val="none" w:sz="0" w:space="0" w:color="auto"/>
        <w:right w:val="none" w:sz="0" w:space="0" w:color="auto"/>
      </w:divBdr>
    </w:div>
    <w:div w:id="186145264">
      <w:bodyDiv w:val="1"/>
      <w:marLeft w:val="0"/>
      <w:marRight w:val="0"/>
      <w:marTop w:val="0"/>
      <w:marBottom w:val="0"/>
      <w:divBdr>
        <w:top w:val="none" w:sz="0" w:space="0" w:color="auto"/>
        <w:left w:val="none" w:sz="0" w:space="0" w:color="auto"/>
        <w:bottom w:val="none" w:sz="0" w:space="0" w:color="auto"/>
        <w:right w:val="none" w:sz="0" w:space="0" w:color="auto"/>
      </w:divBdr>
    </w:div>
    <w:div w:id="194854349">
      <w:bodyDiv w:val="1"/>
      <w:marLeft w:val="0"/>
      <w:marRight w:val="0"/>
      <w:marTop w:val="0"/>
      <w:marBottom w:val="0"/>
      <w:divBdr>
        <w:top w:val="none" w:sz="0" w:space="0" w:color="auto"/>
        <w:left w:val="none" w:sz="0" w:space="0" w:color="auto"/>
        <w:bottom w:val="none" w:sz="0" w:space="0" w:color="auto"/>
        <w:right w:val="none" w:sz="0" w:space="0" w:color="auto"/>
      </w:divBdr>
    </w:div>
    <w:div w:id="252016165">
      <w:bodyDiv w:val="1"/>
      <w:marLeft w:val="0"/>
      <w:marRight w:val="0"/>
      <w:marTop w:val="0"/>
      <w:marBottom w:val="0"/>
      <w:divBdr>
        <w:top w:val="none" w:sz="0" w:space="0" w:color="auto"/>
        <w:left w:val="none" w:sz="0" w:space="0" w:color="auto"/>
        <w:bottom w:val="none" w:sz="0" w:space="0" w:color="auto"/>
        <w:right w:val="none" w:sz="0" w:space="0" w:color="auto"/>
      </w:divBdr>
    </w:div>
    <w:div w:id="259291153">
      <w:bodyDiv w:val="1"/>
      <w:marLeft w:val="0"/>
      <w:marRight w:val="0"/>
      <w:marTop w:val="0"/>
      <w:marBottom w:val="0"/>
      <w:divBdr>
        <w:top w:val="none" w:sz="0" w:space="0" w:color="auto"/>
        <w:left w:val="none" w:sz="0" w:space="0" w:color="auto"/>
        <w:bottom w:val="none" w:sz="0" w:space="0" w:color="auto"/>
        <w:right w:val="none" w:sz="0" w:space="0" w:color="auto"/>
      </w:divBdr>
    </w:div>
    <w:div w:id="264197520">
      <w:bodyDiv w:val="1"/>
      <w:marLeft w:val="0"/>
      <w:marRight w:val="0"/>
      <w:marTop w:val="0"/>
      <w:marBottom w:val="0"/>
      <w:divBdr>
        <w:top w:val="none" w:sz="0" w:space="0" w:color="auto"/>
        <w:left w:val="none" w:sz="0" w:space="0" w:color="auto"/>
        <w:bottom w:val="none" w:sz="0" w:space="0" w:color="auto"/>
        <w:right w:val="none" w:sz="0" w:space="0" w:color="auto"/>
      </w:divBdr>
    </w:div>
    <w:div w:id="427893648">
      <w:bodyDiv w:val="1"/>
      <w:marLeft w:val="0"/>
      <w:marRight w:val="0"/>
      <w:marTop w:val="0"/>
      <w:marBottom w:val="0"/>
      <w:divBdr>
        <w:top w:val="none" w:sz="0" w:space="0" w:color="auto"/>
        <w:left w:val="none" w:sz="0" w:space="0" w:color="auto"/>
        <w:bottom w:val="none" w:sz="0" w:space="0" w:color="auto"/>
        <w:right w:val="none" w:sz="0" w:space="0" w:color="auto"/>
      </w:divBdr>
    </w:div>
    <w:div w:id="430273355">
      <w:bodyDiv w:val="1"/>
      <w:marLeft w:val="0"/>
      <w:marRight w:val="0"/>
      <w:marTop w:val="0"/>
      <w:marBottom w:val="0"/>
      <w:divBdr>
        <w:top w:val="none" w:sz="0" w:space="0" w:color="auto"/>
        <w:left w:val="none" w:sz="0" w:space="0" w:color="auto"/>
        <w:bottom w:val="none" w:sz="0" w:space="0" w:color="auto"/>
        <w:right w:val="none" w:sz="0" w:space="0" w:color="auto"/>
      </w:divBdr>
    </w:div>
    <w:div w:id="472219322">
      <w:bodyDiv w:val="1"/>
      <w:marLeft w:val="0"/>
      <w:marRight w:val="0"/>
      <w:marTop w:val="0"/>
      <w:marBottom w:val="0"/>
      <w:divBdr>
        <w:top w:val="none" w:sz="0" w:space="0" w:color="auto"/>
        <w:left w:val="none" w:sz="0" w:space="0" w:color="auto"/>
        <w:bottom w:val="none" w:sz="0" w:space="0" w:color="auto"/>
        <w:right w:val="none" w:sz="0" w:space="0" w:color="auto"/>
      </w:divBdr>
    </w:div>
    <w:div w:id="473332094">
      <w:bodyDiv w:val="1"/>
      <w:marLeft w:val="0"/>
      <w:marRight w:val="0"/>
      <w:marTop w:val="0"/>
      <w:marBottom w:val="0"/>
      <w:divBdr>
        <w:top w:val="none" w:sz="0" w:space="0" w:color="auto"/>
        <w:left w:val="none" w:sz="0" w:space="0" w:color="auto"/>
        <w:bottom w:val="none" w:sz="0" w:space="0" w:color="auto"/>
        <w:right w:val="none" w:sz="0" w:space="0" w:color="auto"/>
      </w:divBdr>
    </w:div>
    <w:div w:id="474761847">
      <w:bodyDiv w:val="1"/>
      <w:marLeft w:val="0"/>
      <w:marRight w:val="0"/>
      <w:marTop w:val="0"/>
      <w:marBottom w:val="0"/>
      <w:divBdr>
        <w:top w:val="none" w:sz="0" w:space="0" w:color="auto"/>
        <w:left w:val="none" w:sz="0" w:space="0" w:color="auto"/>
        <w:bottom w:val="none" w:sz="0" w:space="0" w:color="auto"/>
        <w:right w:val="none" w:sz="0" w:space="0" w:color="auto"/>
      </w:divBdr>
    </w:div>
    <w:div w:id="477261912">
      <w:bodyDiv w:val="1"/>
      <w:marLeft w:val="0"/>
      <w:marRight w:val="0"/>
      <w:marTop w:val="0"/>
      <w:marBottom w:val="0"/>
      <w:divBdr>
        <w:top w:val="none" w:sz="0" w:space="0" w:color="auto"/>
        <w:left w:val="none" w:sz="0" w:space="0" w:color="auto"/>
        <w:bottom w:val="none" w:sz="0" w:space="0" w:color="auto"/>
        <w:right w:val="none" w:sz="0" w:space="0" w:color="auto"/>
      </w:divBdr>
    </w:div>
    <w:div w:id="590238341">
      <w:bodyDiv w:val="1"/>
      <w:marLeft w:val="0"/>
      <w:marRight w:val="0"/>
      <w:marTop w:val="0"/>
      <w:marBottom w:val="0"/>
      <w:divBdr>
        <w:top w:val="none" w:sz="0" w:space="0" w:color="auto"/>
        <w:left w:val="none" w:sz="0" w:space="0" w:color="auto"/>
        <w:bottom w:val="none" w:sz="0" w:space="0" w:color="auto"/>
        <w:right w:val="none" w:sz="0" w:space="0" w:color="auto"/>
      </w:divBdr>
    </w:div>
    <w:div w:id="608780343">
      <w:bodyDiv w:val="1"/>
      <w:marLeft w:val="0"/>
      <w:marRight w:val="0"/>
      <w:marTop w:val="0"/>
      <w:marBottom w:val="0"/>
      <w:divBdr>
        <w:top w:val="none" w:sz="0" w:space="0" w:color="auto"/>
        <w:left w:val="none" w:sz="0" w:space="0" w:color="auto"/>
        <w:bottom w:val="none" w:sz="0" w:space="0" w:color="auto"/>
        <w:right w:val="none" w:sz="0" w:space="0" w:color="auto"/>
      </w:divBdr>
    </w:div>
    <w:div w:id="613051744">
      <w:bodyDiv w:val="1"/>
      <w:marLeft w:val="0"/>
      <w:marRight w:val="0"/>
      <w:marTop w:val="0"/>
      <w:marBottom w:val="0"/>
      <w:divBdr>
        <w:top w:val="none" w:sz="0" w:space="0" w:color="auto"/>
        <w:left w:val="none" w:sz="0" w:space="0" w:color="auto"/>
        <w:bottom w:val="none" w:sz="0" w:space="0" w:color="auto"/>
        <w:right w:val="none" w:sz="0" w:space="0" w:color="auto"/>
      </w:divBdr>
    </w:div>
    <w:div w:id="667054913">
      <w:bodyDiv w:val="1"/>
      <w:marLeft w:val="0"/>
      <w:marRight w:val="0"/>
      <w:marTop w:val="0"/>
      <w:marBottom w:val="0"/>
      <w:divBdr>
        <w:top w:val="none" w:sz="0" w:space="0" w:color="auto"/>
        <w:left w:val="none" w:sz="0" w:space="0" w:color="auto"/>
        <w:bottom w:val="none" w:sz="0" w:space="0" w:color="auto"/>
        <w:right w:val="none" w:sz="0" w:space="0" w:color="auto"/>
      </w:divBdr>
    </w:div>
    <w:div w:id="677390941">
      <w:bodyDiv w:val="1"/>
      <w:marLeft w:val="0"/>
      <w:marRight w:val="0"/>
      <w:marTop w:val="0"/>
      <w:marBottom w:val="0"/>
      <w:divBdr>
        <w:top w:val="none" w:sz="0" w:space="0" w:color="auto"/>
        <w:left w:val="none" w:sz="0" w:space="0" w:color="auto"/>
        <w:bottom w:val="none" w:sz="0" w:space="0" w:color="auto"/>
        <w:right w:val="none" w:sz="0" w:space="0" w:color="auto"/>
      </w:divBdr>
    </w:div>
    <w:div w:id="761223514">
      <w:bodyDiv w:val="1"/>
      <w:marLeft w:val="0"/>
      <w:marRight w:val="0"/>
      <w:marTop w:val="0"/>
      <w:marBottom w:val="0"/>
      <w:divBdr>
        <w:top w:val="none" w:sz="0" w:space="0" w:color="auto"/>
        <w:left w:val="none" w:sz="0" w:space="0" w:color="auto"/>
        <w:bottom w:val="none" w:sz="0" w:space="0" w:color="auto"/>
        <w:right w:val="none" w:sz="0" w:space="0" w:color="auto"/>
      </w:divBdr>
    </w:div>
    <w:div w:id="803157530">
      <w:bodyDiv w:val="1"/>
      <w:marLeft w:val="0"/>
      <w:marRight w:val="0"/>
      <w:marTop w:val="0"/>
      <w:marBottom w:val="0"/>
      <w:divBdr>
        <w:top w:val="none" w:sz="0" w:space="0" w:color="auto"/>
        <w:left w:val="none" w:sz="0" w:space="0" w:color="auto"/>
        <w:bottom w:val="none" w:sz="0" w:space="0" w:color="auto"/>
        <w:right w:val="none" w:sz="0" w:space="0" w:color="auto"/>
      </w:divBdr>
    </w:div>
    <w:div w:id="858930234">
      <w:bodyDiv w:val="1"/>
      <w:marLeft w:val="0"/>
      <w:marRight w:val="0"/>
      <w:marTop w:val="0"/>
      <w:marBottom w:val="0"/>
      <w:divBdr>
        <w:top w:val="none" w:sz="0" w:space="0" w:color="auto"/>
        <w:left w:val="none" w:sz="0" w:space="0" w:color="auto"/>
        <w:bottom w:val="none" w:sz="0" w:space="0" w:color="auto"/>
        <w:right w:val="none" w:sz="0" w:space="0" w:color="auto"/>
      </w:divBdr>
    </w:div>
    <w:div w:id="905145209">
      <w:bodyDiv w:val="1"/>
      <w:marLeft w:val="0"/>
      <w:marRight w:val="0"/>
      <w:marTop w:val="0"/>
      <w:marBottom w:val="0"/>
      <w:divBdr>
        <w:top w:val="none" w:sz="0" w:space="0" w:color="auto"/>
        <w:left w:val="none" w:sz="0" w:space="0" w:color="auto"/>
        <w:bottom w:val="none" w:sz="0" w:space="0" w:color="auto"/>
        <w:right w:val="none" w:sz="0" w:space="0" w:color="auto"/>
      </w:divBdr>
    </w:div>
    <w:div w:id="908463471">
      <w:bodyDiv w:val="1"/>
      <w:marLeft w:val="0"/>
      <w:marRight w:val="0"/>
      <w:marTop w:val="0"/>
      <w:marBottom w:val="0"/>
      <w:divBdr>
        <w:top w:val="none" w:sz="0" w:space="0" w:color="auto"/>
        <w:left w:val="none" w:sz="0" w:space="0" w:color="auto"/>
        <w:bottom w:val="none" w:sz="0" w:space="0" w:color="auto"/>
        <w:right w:val="none" w:sz="0" w:space="0" w:color="auto"/>
      </w:divBdr>
    </w:div>
    <w:div w:id="953294916">
      <w:bodyDiv w:val="1"/>
      <w:marLeft w:val="0"/>
      <w:marRight w:val="0"/>
      <w:marTop w:val="0"/>
      <w:marBottom w:val="0"/>
      <w:divBdr>
        <w:top w:val="none" w:sz="0" w:space="0" w:color="auto"/>
        <w:left w:val="none" w:sz="0" w:space="0" w:color="auto"/>
        <w:bottom w:val="none" w:sz="0" w:space="0" w:color="auto"/>
        <w:right w:val="none" w:sz="0" w:space="0" w:color="auto"/>
      </w:divBdr>
    </w:div>
    <w:div w:id="1009525348">
      <w:bodyDiv w:val="1"/>
      <w:marLeft w:val="0"/>
      <w:marRight w:val="0"/>
      <w:marTop w:val="0"/>
      <w:marBottom w:val="0"/>
      <w:divBdr>
        <w:top w:val="none" w:sz="0" w:space="0" w:color="auto"/>
        <w:left w:val="none" w:sz="0" w:space="0" w:color="auto"/>
        <w:bottom w:val="none" w:sz="0" w:space="0" w:color="auto"/>
        <w:right w:val="none" w:sz="0" w:space="0" w:color="auto"/>
      </w:divBdr>
    </w:div>
    <w:div w:id="1054088902">
      <w:bodyDiv w:val="1"/>
      <w:marLeft w:val="0"/>
      <w:marRight w:val="0"/>
      <w:marTop w:val="0"/>
      <w:marBottom w:val="0"/>
      <w:divBdr>
        <w:top w:val="none" w:sz="0" w:space="0" w:color="auto"/>
        <w:left w:val="none" w:sz="0" w:space="0" w:color="auto"/>
        <w:bottom w:val="none" w:sz="0" w:space="0" w:color="auto"/>
        <w:right w:val="none" w:sz="0" w:space="0" w:color="auto"/>
      </w:divBdr>
    </w:div>
    <w:div w:id="1054155029">
      <w:bodyDiv w:val="1"/>
      <w:marLeft w:val="0"/>
      <w:marRight w:val="0"/>
      <w:marTop w:val="0"/>
      <w:marBottom w:val="0"/>
      <w:divBdr>
        <w:top w:val="none" w:sz="0" w:space="0" w:color="auto"/>
        <w:left w:val="none" w:sz="0" w:space="0" w:color="auto"/>
        <w:bottom w:val="none" w:sz="0" w:space="0" w:color="auto"/>
        <w:right w:val="none" w:sz="0" w:space="0" w:color="auto"/>
      </w:divBdr>
    </w:div>
    <w:div w:id="1077164655">
      <w:bodyDiv w:val="1"/>
      <w:marLeft w:val="0"/>
      <w:marRight w:val="0"/>
      <w:marTop w:val="0"/>
      <w:marBottom w:val="0"/>
      <w:divBdr>
        <w:top w:val="none" w:sz="0" w:space="0" w:color="auto"/>
        <w:left w:val="none" w:sz="0" w:space="0" w:color="auto"/>
        <w:bottom w:val="none" w:sz="0" w:space="0" w:color="auto"/>
        <w:right w:val="none" w:sz="0" w:space="0" w:color="auto"/>
      </w:divBdr>
    </w:div>
    <w:div w:id="1138842205">
      <w:bodyDiv w:val="1"/>
      <w:marLeft w:val="0"/>
      <w:marRight w:val="0"/>
      <w:marTop w:val="0"/>
      <w:marBottom w:val="0"/>
      <w:divBdr>
        <w:top w:val="none" w:sz="0" w:space="0" w:color="auto"/>
        <w:left w:val="none" w:sz="0" w:space="0" w:color="auto"/>
        <w:bottom w:val="none" w:sz="0" w:space="0" w:color="auto"/>
        <w:right w:val="none" w:sz="0" w:space="0" w:color="auto"/>
      </w:divBdr>
    </w:div>
    <w:div w:id="1144127586">
      <w:bodyDiv w:val="1"/>
      <w:marLeft w:val="0"/>
      <w:marRight w:val="0"/>
      <w:marTop w:val="0"/>
      <w:marBottom w:val="0"/>
      <w:divBdr>
        <w:top w:val="none" w:sz="0" w:space="0" w:color="auto"/>
        <w:left w:val="none" w:sz="0" w:space="0" w:color="auto"/>
        <w:bottom w:val="none" w:sz="0" w:space="0" w:color="auto"/>
        <w:right w:val="none" w:sz="0" w:space="0" w:color="auto"/>
      </w:divBdr>
    </w:div>
    <w:div w:id="1213691248">
      <w:bodyDiv w:val="1"/>
      <w:marLeft w:val="0"/>
      <w:marRight w:val="0"/>
      <w:marTop w:val="0"/>
      <w:marBottom w:val="0"/>
      <w:divBdr>
        <w:top w:val="none" w:sz="0" w:space="0" w:color="auto"/>
        <w:left w:val="none" w:sz="0" w:space="0" w:color="auto"/>
        <w:bottom w:val="none" w:sz="0" w:space="0" w:color="auto"/>
        <w:right w:val="none" w:sz="0" w:space="0" w:color="auto"/>
      </w:divBdr>
    </w:div>
    <w:div w:id="1283464416">
      <w:bodyDiv w:val="1"/>
      <w:marLeft w:val="0"/>
      <w:marRight w:val="0"/>
      <w:marTop w:val="0"/>
      <w:marBottom w:val="0"/>
      <w:divBdr>
        <w:top w:val="none" w:sz="0" w:space="0" w:color="auto"/>
        <w:left w:val="none" w:sz="0" w:space="0" w:color="auto"/>
        <w:bottom w:val="none" w:sz="0" w:space="0" w:color="auto"/>
        <w:right w:val="none" w:sz="0" w:space="0" w:color="auto"/>
      </w:divBdr>
    </w:div>
    <w:div w:id="1292518821">
      <w:bodyDiv w:val="1"/>
      <w:marLeft w:val="0"/>
      <w:marRight w:val="0"/>
      <w:marTop w:val="0"/>
      <w:marBottom w:val="0"/>
      <w:divBdr>
        <w:top w:val="none" w:sz="0" w:space="0" w:color="auto"/>
        <w:left w:val="none" w:sz="0" w:space="0" w:color="auto"/>
        <w:bottom w:val="none" w:sz="0" w:space="0" w:color="auto"/>
        <w:right w:val="none" w:sz="0" w:space="0" w:color="auto"/>
      </w:divBdr>
    </w:div>
    <w:div w:id="1308706651">
      <w:bodyDiv w:val="1"/>
      <w:marLeft w:val="0"/>
      <w:marRight w:val="0"/>
      <w:marTop w:val="0"/>
      <w:marBottom w:val="0"/>
      <w:divBdr>
        <w:top w:val="none" w:sz="0" w:space="0" w:color="auto"/>
        <w:left w:val="none" w:sz="0" w:space="0" w:color="auto"/>
        <w:bottom w:val="none" w:sz="0" w:space="0" w:color="auto"/>
        <w:right w:val="none" w:sz="0" w:space="0" w:color="auto"/>
      </w:divBdr>
    </w:div>
    <w:div w:id="1313021511">
      <w:bodyDiv w:val="1"/>
      <w:marLeft w:val="0"/>
      <w:marRight w:val="0"/>
      <w:marTop w:val="0"/>
      <w:marBottom w:val="0"/>
      <w:divBdr>
        <w:top w:val="none" w:sz="0" w:space="0" w:color="auto"/>
        <w:left w:val="none" w:sz="0" w:space="0" w:color="auto"/>
        <w:bottom w:val="none" w:sz="0" w:space="0" w:color="auto"/>
        <w:right w:val="none" w:sz="0" w:space="0" w:color="auto"/>
      </w:divBdr>
    </w:div>
    <w:div w:id="1335762555">
      <w:bodyDiv w:val="1"/>
      <w:marLeft w:val="0"/>
      <w:marRight w:val="0"/>
      <w:marTop w:val="0"/>
      <w:marBottom w:val="0"/>
      <w:divBdr>
        <w:top w:val="none" w:sz="0" w:space="0" w:color="auto"/>
        <w:left w:val="none" w:sz="0" w:space="0" w:color="auto"/>
        <w:bottom w:val="none" w:sz="0" w:space="0" w:color="auto"/>
        <w:right w:val="none" w:sz="0" w:space="0" w:color="auto"/>
      </w:divBdr>
    </w:div>
    <w:div w:id="1346980832">
      <w:bodyDiv w:val="1"/>
      <w:marLeft w:val="0"/>
      <w:marRight w:val="0"/>
      <w:marTop w:val="0"/>
      <w:marBottom w:val="0"/>
      <w:divBdr>
        <w:top w:val="none" w:sz="0" w:space="0" w:color="auto"/>
        <w:left w:val="none" w:sz="0" w:space="0" w:color="auto"/>
        <w:bottom w:val="none" w:sz="0" w:space="0" w:color="auto"/>
        <w:right w:val="none" w:sz="0" w:space="0" w:color="auto"/>
      </w:divBdr>
    </w:div>
    <w:div w:id="1380671534">
      <w:bodyDiv w:val="1"/>
      <w:marLeft w:val="0"/>
      <w:marRight w:val="0"/>
      <w:marTop w:val="0"/>
      <w:marBottom w:val="0"/>
      <w:divBdr>
        <w:top w:val="none" w:sz="0" w:space="0" w:color="auto"/>
        <w:left w:val="none" w:sz="0" w:space="0" w:color="auto"/>
        <w:bottom w:val="none" w:sz="0" w:space="0" w:color="auto"/>
        <w:right w:val="none" w:sz="0" w:space="0" w:color="auto"/>
      </w:divBdr>
    </w:div>
    <w:div w:id="1481651257">
      <w:bodyDiv w:val="1"/>
      <w:marLeft w:val="0"/>
      <w:marRight w:val="0"/>
      <w:marTop w:val="0"/>
      <w:marBottom w:val="0"/>
      <w:divBdr>
        <w:top w:val="none" w:sz="0" w:space="0" w:color="auto"/>
        <w:left w:val="none" w:sz="0" w:space="0" w:color="auto"/>
        <w:bottom w:val="none" w:sz="0" w:space="0" w:color="auto"/>
        <w:right w:val="none" w:sz="0" w:space="0" w:color="auto"/>
      </w:divBdr>
    </w:div>
    <w:div w:id="1483236295">
      <w:bodyDiv w:val="1"/>
      <w:marLeft w:val="0"/>
      <w:marRight w:val="0"/>
      <w:marTop w:val="0"/>
      <w:marBottom w:val="0"/>
      <w:divBdr>
        <w:top w:val="none" w:sz="0" w:space="0" w:color="auto"/>
        <w:left w:val="none" w:sz="0" w:space="0" w:color="auto"/>
        <w:bottom w:val="none" w:sz="0" w:space="0" w:color="auto"/>
        <w:right w:val="none" w:sz="0" w:space="0" w:color="auto"/>
      </w:divBdr>
    </w:div>
    <w:div w:id="1558474842">
      <w:bodyDiv w:val="1"/>
      <w:marLeft w:val="0"/>
      <w:marRight w:val="0"/>
      <w:marTop w:val="0"/>
      <w:marBottom w:val="0"/>
      <w:divBdr>
        <w:top w:val="none" w:sz="0" w:space="0" w:color="auto"/>
        <w:left w:val="none" w:sz="0" w:space="0" w:color="auto"/>
        <w:bottom w:val="none" w:sz="0" w:space="0" w:color="auto"/>
        <w:right w:val="none" w:sz="0" w:space="0" w:color="auto"/>
      </w:divBdr>
    </w:div>
    <w:div w:id="1590969557">
      <w:bodyDiv w:val="1"/>
      <w:marLeft w:val="0"/>
      <w:marRight w:val="0"/>
      <w:marTop w:val="0"/>
      <w:marBottom w:val="0"/>
      <w:divBdr>
        <w:top w:val="none" w:sz="0" w:space="0" w:color="auto"/>
        <w:left w:val="none" w:sz="0" w:space="0" w:color="auto"/>
        <w:bottom w:val="none" w:sz="0" w:space="0" w:color="auto"/>
        <w:right w:val="none" w:sz="0" w:space="0" w:color="auto"/>
      </w:divBdr>
    </w:div>
    <w:div w:id="1623076331">
      <w:bodyDiv w:val="1"/>
      <w:marLeft w:val="0"/>
      <w:marRight w:val="0"/>
      <w:marTop w:val="0"/>
      <w:marBottom w:val="0"/>
      <w:divBdr>
        <w:top w:val="none" w:sz="0" w:space="0" w:color="auto"/>
        <w:left w:val="none" w:sz="0" w:space="0" w:color="auto"/>
        <w:bottom w:val="none" w:sz="0" w:space="0" w:color="auto"/>
        <w:right w:val="none" w:sz="0" w:space="0" w:color="auto"/>
      </w:divBdr>
    </w:div>
    <w:div w:id="1695568723">
      <w:bodyDiv w:val="1"/>
      <w:marLeft w:val="0"/>
      <w:marRight w:val="0"/>
      <w:marTop w:val="0"/>
      <w:marBottom w:val="0"/>
      <w:divBdr>
        <w:top w:val="none" w:sz="0" w:space="0" w:color="auto"/>
        <w:left w:val="none" w:sz="0" w:space="0" w:color="auto"/>
        <w:bottom w:val="none" w:sz="0" w:space="0" w:color="auto"/>
        <w:right w:val="none" w:sz="0" w:space="0" w:color="auto"/>
      </w:divBdr>
    </w:div>
    <w:div w:id="1709915540">
      <w:bodyDiv w:val="1"/>
      <w:marLeft w:val="0"/>
      <w:marRight w:val="0"/>
      <w:marTop w:val="0"/>
      <w:marBottom w:val="0"/>
      <w:divBdr>
        <w:top w:val="none" w:sz="0" w:space="0" w:color="auto"/>
        <w:left w:val="none" w:sz="0" w:space="0" w:color="auto"/>
        <w:bottom w:val="none" w:sz="0" w:space="0" w:color="auto"/>
        <w:right w:val="none" w:sz="0" w:space="0" w:color="auto"/>
      </w:divBdr>
    </w:div>
    <w:div w:id="1717000183">
      <w:bodyDiv w:val="1"/>
      <w:marLeft w:val="0"/>
      <w:marRight w:val="0"/>
      <w:marTop w:val="0"/>
      <w:marBottom w:val="0"/>
      <w:divBdr>
        <w:top w:val="none" w:sz="0" w:space="0" w:color="auto"/>
        <w:left w:val="none" w:sz="0" w:space="0" w:color="auto"/>
        <w:bottom w:val="none" w:sz="0" w:space="0" w:color="auto"/>
        <w:right w:val="none" w:sz="0" w:space="0" w:color="auto"/>
      </w:divBdr>
    </w:div>
    <w:div w:id="1763716099">
      <w:bodyDiv w:val="1"/>
      <w:marLeft w:val="0"/>
      <w:marRight w:val="0"/>
      <w:marTop w:val="0"/>
      <w:marBottom w:val="0"/>
      <w:divBdr>
        <w:top w:val="none" w:sz="0" w:space="0" w:color="auto"/>
        <w:left w:val="none" w:sz="0" w:space="0" w:color="auto"/>
        <w:bottom w:val="none" w:sz="0" w:space="0" w:color="auto"/>
        <w:right w:val="none" w:sz="0" w:space="0" w:color="auto"/>
      </w:divBdr>
    </w:div>
    <w:div w:id="1769033687">
      <w:bodyDiv w:val="1"/>
      <w:marLeft w:val="0"/>
      <w:marRight w:val="0"/>
      <w:marTop w:val="0"/>
      <w:marBottom w:val="0"/>
      <w:divBdr>
        <w:top w:val="none" w:sz="0" w:space="0" w:color="auto"/>
        <w:left w:val="none" w:sz="0" w:space="0" w:color="auto"/>
        <w:bottom w:val="none" w:sz="0" w:space="0" w:color="auto"/>
        <w:right w:val="none" w:sz="0" w:space="0" w:color="auto"/>
      </w:divBdr>
    </w:div>
    <w:div w:id="1849178875">
      <w:bodyDiv w:val="1"/>
      <w:marLeft w:val="0"/>
      <w:marRight w:val="0"/>
      <w:marTop w:val="0"/>
      <w:marBottom w:val="0"/>
      <w:divBdr>
        <w:top w:val="none" w:sz="0" w:space="0" w:color="auto"/>
        <w:left w:val="none" w:sz="0" w:space="0" w:color="auto"/>
        <w:bottom w:val="none" w:sz="0" w:space="0" w:color="auto"/>
        <w:right w:val="none" w:sz="0" w:space="0" w:color="auto"/>
      </w:divBdr>
    </w:div>
    <w:div w:id="1861815753">
      <w:bodyDiv w:val="1"/>
      <w:marLeft w:val="0"/>
      <w:marRight w:val="0"/>
      <w:marTop w:val="0"/>
      <w:marBottom w:val="0"/>
      <w:divBdr>
        <w:top w:val="none" w:sz="0" w:space="0" w:color="auto"/>
        <w:left w:val="none" w:sz="0" w:space="0" w:color="auto"/>
        <w:bottom w:val="none" w:sz="0" w:space="0" w:color="auto"/>
        <w:right w:val="none" w:sz="0" w:space="0" w:color="auto"/>
      </w:divBdr>
    </w:div>
    <w:div w:id="1889030948">
      <w:bodyDiv w:val="1"/>
      <w:marLeft w:val="0"/>
      <w:marRight w:val="0"/>
      <w:marTop w:val="0"/>
      <w:marBottom w:val="0"/>
      <w:divBdr>
        <w:top w:val="none" w:sz="0" w:space="0" w:color="auto"/>
        <w:left w:val="none" w:sz="0" w:space="0" w:color="auto"/>
        <w:bottom w:val="none" w:sz="0" w:space="0" w:color="auto"/>
        <w:right w:val="none" w:sz="0" w:space="0" w:color="auto"/>
      </w:divBdr>
    </w:div>
    <w:div w:id="1930965687">
      <w:bodyDiv w:val="1"/>
      <w:marLeft w:val="0"/>
      <w:marRight w:val="0"/>
      <w:marTop w:val="0"/>
      <w:marBottom w:val="0"/>
      <w:divBdr>
        <w:top w:val="none" w:sz="0" w:space="0" w:color="auto"/>
        <w:left w:val="none" w:sz="0" w:space="0" w:color="auto"/>
        <w:bottom w:val="none" w:sz="0" w:space="0" w:color="auto"/>
        <w:right w:val="none" w:sz="0" w:space="0" w:color="auto"/>
      </w:divBdr>
    </w:div>
    <w:div w:id="1945920306">
      <w:bodyDiv w:val="1"/>
      <w:marLeft w:val="0"/>
      <w:marRight w:val="0"/>
      <w:marTop w:val="0"/>
      <w:marBottom w:val="0"/>
      <w:divBdr>
        <w:top w:val="none" w:sz="0" w:space="0" w:color="auto"/>
        <w:left w:val="none" w:sz="0" w:space="0" w:color="auto"/>
        <w:bottom w:val="none" w:sz="0" w:space="0" w:color="auto"/>
        <w:right w:val="none" w:sz="0" w:space="0" w:color="auto"/>
      </w:divBdr>
    </w:div>
    <w:div w:id="1959023485">
      <w:bodyDiv w:val="1"/>
      <w:marLeft w:val="0"/>
      <w:marRight w:val="0"/>
      <w:marTop w:val="0"/>
      <w:marBottom w:val="0"/>
      <w:divBdr>
        <w:top w:val="none" w:sz="0" w:space="0" w:color="auto"/>
        <w:left w:val="none" w:sz="0" w:space="0" w:color="auto"/>
        <w:bottom w:val="none" w:sz="0" w:space="0" w:color="auto"/>
        <w:right w:val="none" w:sz="0" w:space="0" w:color="auto"/>
      </w:divBdr>
    </w:div>
    <w:div w:id="1969242525">
      <w:bodyDiv w:val="1"/>
      <w:marLeft w:val="0"/>
      <w:marRight w:val="0"/>
      <w:marTop w:val="0"/>
      <w:marBottom w:val="0"/>
      <w:divBdr>
        <w:top w:val="none" w:sz="0" w:space="0" w:color="auto"/>
        <w:left w:val="none" w:sz="0" w:space="0" w:color="auto"/>
        <w:bottom w:val="none" w:sz="0" w:space="0" w:color="auto"/>
        <w:right w:val="none" w:sz="0" w:space="0" w:color="auto"/>
      </w:divBdr>
    </w:div>
    <w:div w:id="1972858274">
      <w:bodyDiv w:val="1"/>
      <w:marLeft w:val="0"/>
      <w:marRight w:val="0"/>
      <w:marTop w:val="0"/>
      <w:marBottom w:val="0"/>
      <w:divBdr>
        <w:top w:val="none" w:sz="0" w:space="0" w:color="auto"/>
        <w:left w:val="none" w:sz="0" w:space="0" w:color="auto"/>
        <w:bottom w:val="none" w:sz="0" w:space="0" w:color="auto"/>
        <w:right w:val="none" w:sz="0" w:space="0" w:color="auto"/>
      </w:divBdr>
    </w:div>
    <w:div w:id="2041977612">
      <w:bodyDiv w:val="1"/>
      <w:marLeft w:val="0"/>
      <w:marRight w:val="0"/>
      <w:marTop w:val="0"/>
      <w:marBottom w:val="0"/>
      <w:divBdr>
        <w:top w:val="none" w:sz="0" w:space="0" w:color="auto"/>
        <w:left w:val="none" w:sz="0" w:space="0" w:color="auto"/>
        <w:bottom w:val="none" w:sz="0" w:space="0" w:color="auto"/>
        <w:right w:val="none" w:sz="0" w:space="0" w:color="auto"/>
      </w:divBdr>
    </w:div>
    <w:div w:id="2064403844">
      <w:bodyDiv w:val="1"/>
      <w:marLeft w:val="0"/>
      <w:marRight w:val="0"/>
      <w:marTop w:val="0"/>
      <w:marBottom w:val="0"/>
      <w:divBdr>
        <w:top w:val="none" w:sz="0" w:space="0" w:color="auto"/>
        <w:left w:val="none" w:sz="0" w:space="0" w:color="auto"/>
        <w:bottom w:val="none" w:sz="0" w:space="0" w:color="auto"/>
        <w:right w:val="none" w:sz="0" w:space="0" w:color="auto"/>
      </w:divBdr>
    </w:div>
    <w:div w:id="2080253192">
      <w:bodyDiv w:val="1"/>
      <w:marLeft w:val="0"/>
      <w:marRight w:val="0"/>
      <w:marTop w:val="0"/>
      <w:marBottom w:val="0"/>
      <w:divBdr>
        <w:top w:val="none" w:sz="0" w:space="0" w:color="auto"/>
        <w:left w:val="none" w:sz="0" w:space="0" w:color="auto"/>
        <w:bottom w:val="none" w:sz="0" w:space="0" w:color="auto"/>
        <w:right w:val="none" w:sz="0" w:space="0" w:color="auto"/>
      </w:divBdr>
    </w:div>
    <w:div w:id="2083404770">
      <w:bodyDiv w:val="1"/>
      <w:marLeft w:val="0"/>
      <w:marRight w:val="0"/>
      <w:marTop w:val="0"/>
      <w:marBottom w:val="0"/>
      <w:divBdr>
        <w:top w:val="none" w:sz="0" w:space="0" w:color="auto"/>
        <w:left w:val="none" w:sz="0" w:space="0" w:color="auto"/>
        <w:bottom w:val="none" w:sz="0" w:space="0" w:color="auto"/>
        <w:right w:val="none" w:sz="0" w:space="0" w:color="auto"/>
      </w:divBdr>
    </w:div>
    <w:div w:id="2085254716">
      <w:bodyDiv w:val="1"/>
      <w:marLeft w:val="0"/>
      <w:marRight w:val="0"/>
      <w:marTop w:val="0"/>
      <w:marBottom w:val="0"/>
      <w:divBdr>
        <w:top w:val="none" w:sz="0" w:space="0" w:color="auto"/>
        <w:left w:val="none" w:sz="0" w:space="0" w:color="auto"/>
        <w:bottom w:val="none" w:sz="0" w:space="0" w:color="auto"/>
        <w:right w:val="none" w:sz="0" w:space="0" w:color="auto"/>
      </w:divBdr>
    </w:div>
    <w:div w:id="2109425210">
      <w:bodyDiv w:val="1"/>
      <w:marLeft w:val="0"/>
      <w:marRight w:val="0"/>
      <w:marTop w:val="0"/>
      <w:marBottom w:val="0"/>
      <w:divBdr>
        <w:top w:val="none" w:sz="0" w:space="0" w:color="auto"/>
        <w:left w:val="none" w:sz="0" w:space="0" w:color="auto"/>
        <w:bottom w:val="none" w:sz="0" w:space="0" w:color="auto"/>
        <w:right w:val="none" w:sz="0" w:space="0" w:color="auto"/>
      </w:divBdr>
    </w:div>
    <w:div w:id="2131195221">
      <w:bodyDiv w:val="1"/>
      <w:marLeft w:val="0"/>
      <w:marRight w:val="0"/>
      <w:marTop w:val="0"/>
      <w:marBottom w:val="0"/>
      <w:divBdr>
        <w:top w:val="none" w:sz="0" w:space="0" w:color="auto"/>
        <w:left w:val="none" w:sz="0" w:space="0" w:color="auto"/>
        <w:bottom w:val="none" w:sz="0" w:space="0" w:color="auto"/>
        <w:right w:val="none" w:sz="0" w:space="0" w:color="auto"/>
      </w:divBdr>
    </w:div>
    <w:div w:id="2145852119">
      <w:bodyDiv w:val="1"/>
      <w:marLeft w:val="0"/>
      <w:marRight w:val="0"/>
      <w:marTop w:val="0"/>
      <w:marBottom w:val="0"/>
      <w:divBdr>
        <w:top w:val="none" w:sz="0" w:space="0" w:color="auto"/>
        <w:left w:val="none" w:sz="0" w:space="0" w:color="auto"/>
        <w:bottom w:val="none" w:sz="0" w:space="0" w:color="auto"/>
        <w:right w:val="none" w:sz="0" w:space="0" w:color="auto"/>
      </w:divBdr>
    </w:div>
    <w:div w:id="214604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info@thomasjeffersoninst.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s://ww3.arb.ca.gov/cc/capandtrade/capandtrade/ct_reg_unofficial.pdf" TargetMode="External"/><Relationship Id="rId13" Type="http://schemas.openxmlformats.org/officeDocument/2006/relationships/hyperlink" Target="https://www.forbes.com/sites/energyinnovation/2017/12/19/the-china-carbon-market-just-launched-and-its-the-worlds-largest-heres-how-it-can-succeed/" TargetMode="External"/><Relationship Id="rId18" Type="http://schemas.openxmlformats.org/officeDocument/2006/relationships/hyperlink" Target="https://apnews.com/eb973425398f4eb4b4d368b21d7a45c3" TargetMode="External"/><Relationship Id="rId26" Type="http://schemas.openxmlformats.org/officeDocument/2006/relationships/hyperlink" Target="https://www.pbl.nl/en/publications/trends-in-global-co2-and-total-greenhouse-gas-emissions-2018-report" TargetMode="External"/><Relationship Id="rId3" Type="http://schemas.openxmlformats.org/officeDocument/2006/relationships/hyperlink" Target="https://www.epa.gov/environmental-economics/economics-climate-change" TargetMode="External"/><Relationship Id="rId21" Type="http://schemas.openxmlformats.org/officeDocument/2006/relationships/hyperlink" Target="https://lis.virginia.gov/cgi-bin/legp604.exe?201+sum+HB1541" TargetMode="External"/><Relationship Id="rId7" Type="http://schemas.openxmlformats.org/officeDocument/2006/relationships/hyperlink" Target="https://www.imperial.ac.uk/media/imperial-college/grantham-institute/public/publications/briefing-papers/Evaluating-the-EU-emissions-trading-system_Grantham-BP-21_web.pdf" TargetMode="External"/><Relationship Id="rId12" Type="http://schemas.openxmlformats.org/officeDocument/2006/relationships/hyperlink" Target="https://calmatters.org/environment/2020/06/california-climate-strategy-cap-trade/" TargetMode="External"/><Relationship Id="rId17" Type="http://schemas.openxmlformats.org/officeDocument/2006/relationships/hyperlink" Target="https://www.pilotonline.com/news/environment/article_6266e882-1819-11e9-99ff-23a687267a29.html" TargetMode="External"/><Relationship Id="rId25" Type="http://schemas.openxmlformats.org/officeDocument/2006/relationships/hyperlink" Target="http://www.beaconhill.org/how" TargetMode="External"/><Relationship Id="rId2" Type="http://schemas.openxmlformats.org/officeDocument/2006/relationships/hyperlink" Target="https://www.georgetownclimate.org/" TargetMode="External"/><Relationship Id="rId16" Type="http://schemas.openxmlformats.org/officeDocument/2006/relationships/hyperlink" Target="https://www.rggi.org/sites/default/files/Uploads/Press-Releases/2020_07_08_VA_Announcement_Release.pdf" TargetMode="External"/><Relationship Id="rId20" Type="http://schemas.openxmlformats.org/officeDocument/2006/relationships/hyperlink" Target="https://www.baconsrebellion.com/app/uploads/2020/10/PUR-2020-00035-Myers-Testimony-FINAL.pdf" TargetMode="External"/><Relationship Id="rId29" Type="http://schemas.openxmlformats.org/officeDocument/2006/relationships/hyperlink" Target="https://www.cmegroup.com/" TargetMode="External"/><Relationship Id="rId1" Type="http://schemas.openxmlformats.org/officeDocument/2006/relationships/hyperlink" Target="https://www.transportationandclimate.org/content/about-us" TargetMode="External"/><Relationship Id="rId6" Type="http://schemas.openxmlformats.org/officeDocument/2006/relationships/hyperlink" Target="https://ec.europa.eu/clima/sites/clima/files/docs/0005/registered/9825553393-31_friends_of_the_earth_europe_en.pdf" TargetMode="External"/><Relationship Id="rId11" Type="http://schemas.openxmlformats.org/officeDocument/2006/relationships/hyperlink" Target="https://ww2.arb.ca.gov/ghg-inventory-data" TargetMode="External"/><Relationship Id="rId24" Type="http://schemas.openxmlformats.org/officeDocument/2006/relationships/hyperlink" Target="https://sites.google.com/site/williamdnordhaus/dice-rice" TargetMode="External"/><Relationship Id="rId5" Type="http://schemas.openxmlformats.org/officeDocument/2006/relationships/hyperlink" Target="https://www.worldscientific.com/doi/abs/10.1142/S2010007813500103" TargetMode="External"/><Relationship Id="rId15" Type="http://schemas.openxmlformats.org/officeDocument/2006/relationships/hyperlink" Target="http://ccrm.vims.edu/Report_FINAL_ExeSum.pdf" TargetMode="External"/><Relationship Id="rId23" Type="http://schemas.openxmlformats.org/officeDocument/2006/relationships/hyperlink" Target="https://www.epa.gov/statelocalenergy/download-state-inventory-and-projection-tool" TargetMode="External"/><Relationship Id="rId28" Type="http://schemas.openxmlformats.org/officeDocument/2006/relationships/hyperlink" Target="https://www.eia.gov/state/search/" TargetMode="External"/><Relationship Id="rId10" Type="http://schemas.openxmlformats.org/officeDocument/2006/relationships/hyperlink" Target="https://lao.ca.gov/reports/2016/3438/LAO-letter-Tom-Lackey-040716.pdf" TargetMode="External"/><Relationship Id="rId19" Type="http://schemas.openxmlformats.org/officeDocument/2006/relationships/hyperlink" Target="https://lis.virginia.gov/cgi-bin/legp604.exe?201+sum+HB1526" TargetMode="External"/><Relationship Id="rId4" Type="http://schemas.openxmlformats.org/officeDocument/2006/relationships/hyperlink" Target="https://www.transportationandclimate.org/sites/default/files/TCI-Framework_10-01-2019.pdf" TargetMode="External"/><Relationship Id="rId9" Type="http://schemas.openxmlformats.org/officeDocument/2006/relationships/hyperlink" Target="https://ww2.arb.ca.gov/news/report-cap-and-trade-spending-doubles-14-billion-2018" TargetMode="External"/><Relationship Id="rId14" Type="http://schemas.openxmlformats.org/officeDocument/2006/relationships/hyperlink" Target="https://china.energypolicy.solutions/docs/20160704_ExecutiveSummary_EN--FINAL.pdf" TargetMode="External"/><Relationship Id="rId22" Type="http://schemas.openxmlformats.org/officeDocument/2006/relationships/hyperlink" Target="https://lis.virginia.gov/cgi-bin/legp604.exe?201+sum+HB1414" TargetMode="External"/><Relationship Id="rId27" Type="http://schemas.openxmlformats.org/officeDocument/2006/relationships/hyperlink" Target="https://www.ipcc.ch/site/assets/uploads/2018/02/WG1AR5_SPM_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con1\LOCALS~1\Temp\TCD6F.tmp\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B6B0978312534E90FB7650915B0110" ma:contentTypeVersion="7" ma:contentTypeDescription="Create a new document." ma:contentTypeScope="" ma:versionID="4bb990398c61bd1b48755de02de92108">
  <xsd:schema xmlns:xsd="http://www.w3.org/2001/XMLSchema" xmlns:xs="http://www.w3.org/2001/XMLSchema" xmlns:p="http://schemas.microsoft.com/office/2006/metadata/properties" xmlns:ns3="3ff3bdaf-9ad7-45cd-8651-3b72ac7435f4" xmlns:ns4="ff2670ab-7a19-4a8c-bd4b-b66e902c1146" targetNamespace="http://schemas.microsoft.com/office/2006/metadata/properties" ma:root="true" ma:fieldsID="2d82cfde149250df9e30db9bea3fcfa6" ns3:_="" ns4:_="">
    <xsd:import namespace="3ff3bdaf-9ad7-45cd-8651-3b72ac7435f4"/>
    <xsd:import namespace="ff2670ab-7a19-4a8c-bd4b-b66e902c11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3bdaf-9ad7-45cd-8651-3b72ac7435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2670ab-7a19-4a8c-bd4b-b66e902c11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757DFF-2C73-4AE8-A1E9-1414518E45E4}">
  <ds:schemaRefs>
    <ds:schemaRef ds:uri="http://schemas.openxmlformats.org/officeDocument/2006/bibliography"/>
  </ds:schemaRefs>
</ds:datastoreItem>
</file>

<file path=customXml/itemProps2.xml><?xml version="1.0" encoding="utf-8"?>
<ds:datastoreItem xmlns:ds="http://schemas.openxmlformats.org/officeDocument/2006/customXml" ds:itemID="{1AD1606C-2155-4261-A53F-A19B2595AA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9B238E-5963-4B3C-803F-8720E0157743}">
  <ds:schemaRefs>
    <ds:schemaRef ds:uri="http://schemas.microsoft.com/sharepoint/v3/contenttype/forms"/>
  </ds:schemaRefs>
</ds:datastoreItem>
</file>

<file path=customXml/itemProps4.xml><?xml version="1.0" encoding="utf-8"?>
<ds:datastoreItem xmlns:ds="http://schemas.openxmlformats.org/officeDocument/2006/customXml" ds:itemID="{BD2CA7CF-47B8-4758-843A-E7F6A06CA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3bdaf-9ad7-45cd-8651-3b72ac7435f4"/>
    <ds:schemaRef ds:uri="ff2670ab-7a19-4a8c-bd4b-b66e902c1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Newsletter</Template>
  <TotalTime>0</TotalTime>
  <Pages>31</Pages>
  <Words>6773</Words>
  <Characters>38611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Economic Impacts of TCI on Virginia 2020 October</vt:lpstr>
    </vt:vector>
  </TitlesOfParts>
  <Manager>Paul Bachman</Manager>
  <Company>Beacon Hill Institute at Suffolk University</Company>
  <LinksUpToDate>false</LinksUpToDate>
  <CharactersWithSpaces>45294</CharactersWithSpaces>
  <SharedDoc>false</SharedDoc>
  <HLinks>
    <vt:vector size="120" baseType="variant">
      <vt:variant>
        <vt:i4>3276904</vt:i4>
      </vt:variant>
      <vt:variant>
        <vt:i4>57</vt:i4>
      </vt:variant>
      <vt:variant>
        <vt:i4>0</vt:i4>
      </vt:variant>
      <vt:variant>
        <vt:i4>5</vt:i4>
      </vt:variant>
      <vt:variant>
        <vt:lpwstr>https://www.eia.gov/state/search/</vt:lpwstr>
      </vt:variant>
      <vt:variant>
        <vt:lpwstr>?1=79&amp;2=200</vt:lpwstr>
      </vt:variant>
      <vt:variant>
        <vt:i4>2621549</vt:i4>
      </vt:variant>
      <vt:variant>
        <vt:i4>54</vt:i4>
      </vt:variant>
      <vt:variant>
        <vt:i4>0</vt:i4>
      </vt:variant>
      <vt:variant>
        <vt:i4>5</vt:i4>
      </vt:variant>
      <vt:variant>
        <vt:lpwstr>https://www.pbl.nl/en/publications/trends-in-global-co2-and-total-greenhouse-gas-emissions-2018-report</vt:lpwstr>
      </vt:variant>
      <vt:variant>
        <vt:lpwstr/>
      </vt:variant>
      <vt:variant>
        <vt:i4>3145781</vt:i4>
      </vt:variant>
      <vt:variant>
        <vt:i4>51</vt:i4>
      </vt:variant>
      <vt:variant>
        <vt:i4>0</vt:i4>
      </vt:variant>
      <vt:variant>
        <vt:i4>5</vt:i4>
      </vt:variant>
      <vt:variant>
        <vt:lpwstr>http://www.beaconhill.org/</vt:lpwstr>
      </vt:variant>
      <vt:variant>
        <vt:lpwstr/>
      </vt:variant>
      <vt:variant>
        <vt:i4>7798911</vt:i4>
      </vt:variant>
      <vt:variant>
        <vt:i4>48</vt:i4>
      </vt:variant>
      <vt:variant>
        <vt:i4>0</vt:i4>
      </vt:variant>
      <vt:variant>
        <vt:i4>5</vt:i4>
      </vt:variant>
      <vt:variant>
        <vt:lpwstr>http://nordhaus.econ.yale.edu/DICE2007.htm</vt:lpwstr>
      </vt:variant>
      <vt:variant>
        <vt:lpwstr/>
      </vt:variant>
      <vt:variant>
        <vt:i4>7995441</vt:i4>
      </vt:variant>
      <vt:variant>
        <vt:i4>45</vt:i4>
      </vt:variant>
      <vt:variant>
        <vt:i4>0</vt:i4>
      </vt:variant>
      <vt:variant>
        <vt:i4>5</vt:i4>
      </vt:variant>
      <vt:variant>
        <vt:lpwstr>https://apnews.com/eb973425398f4eb4b4d368b21d7a45c3</vt:lpwstr>
      </vt:variant>
      <vt:variant>
        <vt:lpwstr/>
      </vt:variant>
      <vt:variant>
        <vt:i4>7012382</vt:i4>
      </vt:variant>
      <vt:variant>
        <vt:i4>42</vt:i4>
      </vt:variant>
      <vt:variant>
        <vt:i4>0</vt:i4>
      </vt:variant>
      <vt:variant>
        <vt:i4>5</vt:i4>
      </vt:variant>
      <vt:variant>
        <vt:lpwstr>https://www.pilotonline.com/news/environment/article_6266e882-1819-11e9-99ff-23a687267a29.html</vt:lpwstr>
      </vt:variant>
      <vt:variant>
        <vt:lpwstr/>
      </vt:variant>
      <vt:variant>
        <vt:i4>655400</vt:i4>
      </vt:variant>
      <vt:variant>
        <vt:i4>39</vt:i4>
      </vt:variant>
      <vt:variant>
        <vt:i4>0</vt:i4>
      </vt:variant>
      <vt:variant>
        <vt:i4>5</vt:i4>
      </vt:variant>
      <vt:variant>
        <vt:lpwstr>https://www.washingtonpost.com/opinions/local-opinions/virginia-needs-to-take-action-on-climate-change--before-its-too-late/2019/05/17/b5d91dda-759a-11e9-b7ae-390de4259661_story.html</vt:lpwstr>
      </vt:variant>
      <vt:variant>
        <vt:lpwstr/>
      </vt:variant>
      <vt:variant>
        <vt:i4>1441884</vt:i4>
      </vt:variant>
      <vt:variant>
        <vt:i4>36</vt:i4>
      </vt:variant>
      <vt:variant>
        <vt:i4>0</vt:i4>
      </vt:variant>
      <vt:variant>
        <vt:i4>5</vt:i4>
      </vt:variant>
      <vt:variant>
        <vt:lpwstr>http://ccrm.vims.edu/Report_FINAL_ExeSum.pdf</vt:lpwstr>
      </vt:variant>
      <vt:variant>
        <vt:lpwstr/>
      </vt:variant>
      <vt:variant>
        <vt:i4>3407916</vt:i4>
      </vt:variant>
      <vt:variant>
        <vt:i4>33</vt:i4>
      </vt:variant>
      <vt:variant>
        <vt:i4>0</vt:i4>
      </vt:variant>
      <vt:variant>
        <vt:i4>5</vt:i4>
      </vt:variant>
      <vt:variant>
        <vt:lpwstr>https://china.energypolicy.solutions/docs/20160704_ExecutiveSummary_EN--FINAL.pdf</vt:lpwstr>
      </vt:variant>
      <vt:variant>
        <vt:lpwstr/>
      </vt:variant>
      <vt:variant>
        <vt:i4>6291556</vt:i4>
      </vt:variant>
      <vt:variant>
        <vt:i4>30</vt:i4>
      </vt:variant>
      <vt:variant>
        <vt:i4>0</vt:i4>
      </vt:variant>
      <vt:variant>
        <vt:i4>5</vt:i4>
      </vt:variant>
      <vt:variant>
        <vt:lpwstr>https://www.forbes.com/sites/energyinnovation/2017/12/19/the-china-carbon-market-just-launched-and-its-the-worlds-largest-heres-how-it-can-succeed/</vt:lpwstr>
      </vt:variant>
      <vt:variant>
        <vt:lpwstr>2671f2a37ce6</vt:lpwstr>
      </vt:variant>
      <vt:variant>
        <vt:i4>1310722</vt:i4>
      </vt:variant>
      <vt:variant>
        <vt:i4>27</vt:i4>
      </vt:variant>
      <vt:variant>
        <vt:i4>0</vt:i4>
      </vt:variant>
      <vt:variant>
        <vt:i4>5</vt:i4>
      </vt:variant>
      <vt:variant>
        <vt:lpwstr>https://lao.ca.gov/reports/2016/3438/LAO-letter-Tom-Lackey-040716.pdf</vt:lpwstr>
      </vt:variant>
      <vt:variant>
        <vt:lpwstr/>
      </vt:variant>
      <vt:variant>
        <vt:i4>1</vt:i4>
      </vt:variant>
      <vt:variant>
        <vt:i4>24</vt:i4>
      </vt:variant>
      <vt:variant>
        <vt:i4>0</vt:i4>
      </vt:variant>
      <vt:variant>
        <vt:i4>5</vt:i4>
      </vt:variant>
      <vt:variant>
        <vt:lpwstr>https://ww2.arb.ca.gov/news/report-cap-and-trade-spending-doubles-14-billion-2018</vt:lpwstr>
      </vt:variant>
      <vt:variant>
        <vt:lpwstr/>
      </vt:variant>
      <vt:variant>
        <vt:i4>8192123</vt:i4>
      </vt:variant>
      <vt:variant>
        <vt:i4>21</vt:i4>
      </vt:variant>
      <vt:variant>
        <vt:i4>0</vt:i4>
      </vt:variant>
      <vt:variant>
        <vt:i4>5</vt:i4>
      </vt:variant>
      <vt:variant>
        <vt:lpwstr>https://ww3.arb.ca.gov/cc/capandtrade/capandtrade/ct_reg_unofficial.pdf</vt:lpwstr>
      </vt:variant>
      <vt:variant>
        <vt:lpwstr/>
      </vt:variant>
      <vt:variant>
        <vt:i4>5242970</vt:i4>
      </vt:variant>
      <vt:variant>
        <vt:i4>18</vt:i4>
      </vt:variant>
      <vt:variant>
        <vt:i4>0</vt:i4>
      </vt:variant>
      <vt:variant>
        <vt:i4>5</vt:i4>
      </vt:variant>
      <vt:variant>
        <vt:lpwstr>https://www.imperial.ac.uk/media/imperial-college/grantham-institute/public/publications/briefing-papers/Evaluating-the-EU-emissions-trading-system_Grantham-BP-21_web.pdf</vt:lpwstr>
      </vt:variant>
      <vt:variant>
        <vt:lpwstr/>
      </vt:variant>
      <vt:variant>
        <vt:i4>1507392</vt:i4>
      </vt:variant>
      <vt:variant>
        <vt:i4>15</vt:i4>
      </vt:variant>
      <vt:variant>
        <vt:i4>0</vt:i4>
      </vt:variant>
      <vt:variant>
        <vt:i4>5</vt:i4>
      </vt:variant>
      <vt:variant>
        <vt:lpwstr>https://ec.europa.eu/clima/sites/clima/files/docs/0005/registered/9825553393-31_friends_of_the_earth_europe_en.pdf</vt:lpwstr>
      </vt:variant>
      <vt:variant>
        <vt:lpwstr/>
      </vt:variant>
      <vt:variant>
        <vt:i4>2162808</vt:i4>
      </vt:variant>
      <vt:variant>
        <vt:i4>12</vt:i4>
      </vt:variant>
      <vt:variant>
        <vt:i4>0</vt:i4>
      </vt:variant>
      <vt:variant>
        <vt:i4>5</vt:i4>
      </vt:variant>
      <vt:variant>
        <vt:lpwstr>https://www.nber.org/papers/w19338.pdf</vt:lpwstr>
      </vt:variant>
      <vt:variant>
        <vt:lpwstr/>
      </vt:variant>
      <vt:variant>
        <vt:i4>4784189</vt:i4>
      </vt:variant>
      <vt:variant>
        <vt:i4>9</vt:i4>
      </vt:variant>
      <vt:variant>
        <vt:i4>0</vt:i4>
      </vt:variant>
      <vt:variant>
        <vt:i4>5</vt:i4>
      </vt:variant>
      <vt:variant>
        <vt:lpwstr>https://www.transportationandclimate.org/sites/default/files/TCI-Framework_10-01-2019.pdf</vt:lpwstr>
      </vt:variant>
      <vt:variant>
        <vt:lpwstr/>
      </vt:variant>
      <vt:variant>
        <vt:i4>4718668</vt:i4>
      </vt:variant>
      <vt:variant>
        <vt:i4>6</vt:i4>
      </vt:variant>
      <vt:variant>
        <vt:i4>0</vt:i4>
      </vt:variant>
      <vt:variant>
        <vt:i4>5</vt:i4>
      </vt:variant>
      <vt:variant>
        <vt:lpwstr>https://www.epa.gov/environmental-economics/economics-climate-change</vt:lpwstr>
      </vt:variant>
      <vt:variant>
        <vt:lpwstr/>
      </vt:variant>
      <vt:variant>
        <vt:i4>3997738</vt:i4>
      </vt:variant>
      <vt:variant>
        <vt:i4>3</vt:i4>
      </vt:variant>
      <vt:variant>
        <vt:i4>0</vt:i4>
      </vt:variant>
      <vt:variant>
        <vt:i4>5</vt:i4>
      </vt:variant>
      <vt:variant>
        <vt:lpwstr>https://www.georgetownclimate.org/</vt:lpwstr>
      </vt:variant>
      <vt:variant>
        <vt:lpwstr/>
      </vt:variant>
      <vt:variant>
        <vt:i4>4915269</vt:i4>
      </vt:variant>
      <vt:variant>
        <vt:i4>0</vt:i4>
      </vt:variant>
      <vt:variant>
        <vt:i4>0</vt:i4>
      </vt:variant>
      <vt:variant>
        <vt:i4>5</vt:i4>
      </vt:variant>
      <vt:variant>
        <vt:lpwstr>https://www.transportationandclimate.org/content/about-us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Impacts of TCI on Virginia 2020 October</dc:title>
  <dc:subject>Sales tax hike proposal</dc:subject>
  <dc:creator>William Burke;dtuerck@beaconhill.org</dc:creator>
  <cp:keywords>Transportation and Climate Initiative. Cap and Invest, Baker, Taxes, Climate Change, Climate Mitigation, Taxes, Fees</cp:keywords>
  <dc:description>FC formatted 2020-1104
FC edited 2020-1014</dc:description>
  <cp:lastModifiedBy>Stephen Haner</cp:lastModifiedBy>
  <cp:revision>2</cp:revision>
  <cp:lastPrinted>2020-11-10T00:29:00Z</cp:lastPrinted>
  <dcterms:created xsi:type="dcterms:W3CDTF">2020-11-11T21:02:00Z</dcterms:created>
  <dcterms:modified xsi:type="dcterms:W3CDTF">2020-11-11T21:02:00Z</dcterms:modified>
  <cp:category>BHI FaxSheet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y fmtid="{D5CDD505-2E9C-101B-9397-08002B2CF9AE}" pid="3" name="ContentTypeId">
    <vt:lpwstr>0x010100EEB6B0978312534E90FB7650915B0110</vt:lpwstr>
  </property>
</Properties>
</file>